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kern w:val="0"/>
          <w:sz w:val="52"/>
          <w:szCs w:val="52"/>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2024年中央耕地建设与利用资金(耕地地力保护补贴)项目支出绩效评价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ind w:left="1436" w:firstLine="0" w:leftChars="684" w:firstLineChars="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项目名称：2024年中央耕地建设与利用资金(耕地地力保护补贴)</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实施单位（公章）：裕民县农业农村局</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主管部门（公章）：裕民县农业农村局</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项目负责人（签章）：邓志强</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eastAsia="仿宋_GB2312" w:cs="Times New Roman" w:hint="eastAsia"/>
          <w:kern w:val="0"/>
          <w:sz w:val="36"/>
          <w:szCs w:val="36"/>
          <w:lang w:val="en-US" w:eastAsia="zh-CN"/>
        </w:rPr>
        <w:t xml:space="preserve">2024</w:t>
      </w:r>
      <w:r>
        <w:rPr>
          <w:rFonts w:ascii="Times New Roman" w:eastAsia="仿宋_GB2312" w:hAnsi="Times New Roman" w:cs="Times New Roman" w:hint="default"/>
          <w:kern w:val="0"/>
          <w:sz w:val="36"/>
          <w:szCs w:val="36"/>
        </w:rPr>
        <w:t xml:space="preserve">年</w:t>
      </w:r>
      <w:r>
        <w:rPr>
          <w:rFonts w:eastAsia="仿宋_GB2312" w:cs="Times New Roman" w:hint="eastAsia"/>
          <w:kern w:val="0"/>
          <w:sz w:val="36"/>
          <w:szCs w:val="36"/>
          <w:lang w:val="en-US" w:eastAsia="zh-CN"/>
        </w:rPr>
        <w:t xml:space="preserve">4</w:t>
      </w:r>
      <w:r>
        <w:rPr>
          <w:rFonts w:ascii="Times New Roman" w:eastAsia="仿宋_GB2312" w:hAnsi="Times New Roman" w:cs="Times New Roman" w:hint="default"/>
          <w:kern w:val="0"/>
          <w:sz w:val="36"/>
          <w:szCs w:val="36"/>
        </w:rPr>
        <w:t xml:space="preserve">月</w:t>
      </w:r>
      <w:r>
        <w:rPr>
          <w:rFonts w:eastAsia="仿宋_GB2312" w:cs="Times New Roman" w:hint="eastAsia"/>
          <w:kern w:val="0"/>
          <w:sz w:val="36"/>
          <w:szCs w:val="36"/>
          <w:lang w:val="en-US" w:eastAsia="zh-CN"/>
        </w:rPr>
        <w:t xml:space="preserve">16</w:t>
      </w:r>
      <w:r>
        <w:rPr>
          <w:rFonts w:ascii="Times New Roman" w:eastAsia="仿宋_GB2312" w:hAnsi="Times New Roman" w:cs="Times New Roman" w:hint="default"/>
          <w:kern w:val="0"/>
          <w:sz w:val="36"/>
          <w:szCs w:val="36"/>
        </w:rPr>
        <w:t xml:space="preserve">日</w:t>
      </w: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60" w:lineRule="exact"/>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耕地地力保护补贴资金是国家为保护耕地资源和耕地地力，提升粮食生产潜力，实施普惠制耕地地力保护补贴。耕地地力保护补贴资金用于确保耕地不撂荒，确保耕地地力不降低，增加粮食产量，提高粮食质量。根据《关于提前下达2024年中央耕地建设与利用资金（耕地力保护补贴）预算的通知》(塔地财农[2023]22号裕财农[2023]19号)</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2024年自治区农业生产发展资金（耕地地力保护补贴）--直达资金》(塔地财农[2023]36号财农[2023]29号)</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关于下达2024年中央耕地建设与利用资金预算的通知--耕地轮作</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塔地财农[2024]10号裕财农[2024]</w:t>
      </w:r>
      <w:r>
        <w:rPr>
          <w:rFonts w:ascii="Times New Roman" w:eastAsia="仿宋_GB2312" w:hAnsi="Times New Roman" w:cs="Times New Roman" w:hint="eastAsia"/>
          <w:color w:val="auto"/>
          <w:sz w:val="32"/>
          <w:szCs w:val="32"/>
          <w:highlight w:val="none"/>
          <w:lang w:val="en-US" w:eastAsia="zh-CN"/>
        </w:rPr>
        <w:t xml:space="preserve">8</w:t>
      </w:r>
      <w:r>
        <w:rPr>
          <w:rFonts w:ascii="Times New Roman" w:eastAsia="仿宋_GB2312" w:hAnsi="Times New Roman" w:cs="Times New Roman" w:hint="default"/>
          <w:color w:val="auto"/>
          <w:sz w:val="32"/>
          <w:szCs w:val="32"/>
          <w:highlight w:val="none"/>
          <w:lang w:val="en-US" w:eastAsia="zh-CN"/>
        </w:rPr>
        <w:t xml:space="preserve">号</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，中央补贴资金</w:t>
      </w:r>
      <w:r>
        <w:rPr>
          <w:rFonts w:ascii="Times New Roman" w:eastAsia="仿宋_GB2312" w:hAnsi="Times New Roman" w:cs="Times New Roman" w:hint="eastAsia"/>
          <w:color w:val="auto"/>
          <w:sz w:val="32"/>
          <w:szCs w:val="32"/>
          <w:highlight w:val="none"/>
          <w:lang w:val="en-US" w:eastAsia="zh-CN"/>
        </w:rPr>
        <w:t xml:space="preserve">2334</w:t>
      </w:r>
      <w:r>
        <w:rPr>
          <w:rFonts w:ascii="Times New Roman" w:eastAsia="仿宋_GB2312" w:hAnsi="Times New Roman" w:cs="Times New Roman" w:hint="default"/>
          <w:color w:val="auto"/>
          <w:sz w:val="32"/>
          <w:szCs w:val="32"/>
          <w:highlight w:val="none"/>
          <w:lang w:val="en-US" w:eastAsia="zh-CN"/>
        </w:rPr>
        <w:t xml:space="preserve">万元、自治区补贴资金</w:t>
      </w:r>
      <w:r>
        <w:rPr>
          <w:rFonts w:ascii="Times New Roman" w:eastAsia="仿宋_GB2312" w:hAnsi="Times New Roman" w:cs="Times New Roman" w:hint="eastAsia"/>
          <w:color w:val="auto"/>
          <w:sz w:val="32"/>
          <w:szCs w:val="32"/>
          <w:highlight w:val="none"/>
          <w:lang w:val="en-US" w:eastAsia="zh-CN"/>
        </w:rPr>
        <w:t xml:space="preserve">460.76</w:t>
      </w:r>
      <w:r>
        <w:rPr>
          <w:rFonts w:ascii="Times New Roman" w:eastAsia="仿宋_GB2312" w:hAnsi="Times New Roman" w:cs="Times New Roman" w:hint="default"/>
          <w:color w:val="auto"/>
          <w:sz w:val="32"/>
          <w:szCs w:val="32"/>
          <w:highlight w:val="none"/>
          <w:lang w:val="en-US" w:eastAsia="zh-CN"/>
        </w:rPr>
        <w:t xml:space="preserve">万元，实施本项目。</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2024年实施耕地地力保护补项目，项目预算资金共计27</w:t>
      </w:r>
      <w:r>
        <w:rPr>
          <w:rFonts w:ascii="Times New Roman" w:eastAsia="仿宋_GB2312" w:hAnsi="Times New Roman" w:cs="Times New Roman" w:hint="eastAsia"/>
          <w:color w:val="auto"/>
          <w:sz w:val="32"/>
          <w:szCs w:val="32"/>
          <w:highlight w:val="none"/>
          <w:lang w:val="en-US" w:eastAsia="zh-CN"/>
        </w:rPr>
        <w:t xml:space="preserve">94</w:t>
      </w:r>
      <w:r>
        <w:rPr>
          <w:rFonts w:ascii="Times New Roman" w:eastAsia="仿宋_GB2312" w:hAnsi="Times New Roman" w:cs="Times New Roman" w:hint="default"/>
          <w:color w:val="auto"/>
          <w:sz w:val="32"/>
          <w:szCs w:val="32"/>
          <w:highlight w:val="none"/>
          <w:lang w:val="en-US" w:eastAsia="zh-CN"/>
        </w:rPr>
        <w:t xml:space="preserve">.76万元</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补贴对象为所有合法的实际农业种植者</w:t>
      </w:r>
      <w:r>
        <w:rPr>
          <w:rFonts w:ascii="Times New Roman" w:eastAsia="仿宋_GB2312" w:hAnsi="Times New Roman" w:cs="Times New Roman" w:hint="eastAsia"/>
          <w:color w:val="auto"/>
          <w:sz w:val="32"/>
          <w:szCs w:val="32"/>
          <w:highlight w:val="none"/>
          <w:lang w:val="en-US" w:eastAsia="zh-CN"/>
        </w:rPr>
        <w:t xml:space="preserve">，耕地实际用于种植冬小麦、春小麦</w:t>
      </w:r>
      <w:r>
        <w:rPr>
          <w:rFonts w:ascii="Times New Roman" w:eastAsia="仿宋_GB2312" w:hAnsi="Times New Roman" w:cs="Times New Roman" w:hint="default"/>
          <w:color w:val="auto"/>
          <w:sz w:val="32"/>
          <w:szCs w:val="32"/>
          <w:highlight w:val="none"/>
          <w:lang w:val="en-US" w:eastAsia="zh-CN"/>
        </w:rPr>
        <w:t xml:space="preserve">。其中中央资金</w:t>
      </w:r>
      <w:r>
        <w:rPr>
          <w:rFonts w:ascii="Times New Roman" w:eastAsia="仿宋_GB2312" w:hAnsi="Times New Roman" w:cs="Times New Roman" w:hint="eastAsia"/>
          <w:color w:val="auto"/>
          <w:sz w:val="32"/>
          <w:szCs w:val="32"/>
          <w:highlight w:val="none"/>
          <w:lang w:val="en-US" w:eastAsia="zh-CN"/>
        </w:rPr>
        <w:t xml:space="preserve">2334</w:t>
      </w:r>
      <w:r>
        <w:rPr>
          <w:rFonts w:ascii="Times New Roman" w:eastAsia="仿宋_GB2312" w:hAnsi="Times New Roman" w:cs="Times New Roman" w:hint="default"/>
          <w:color w:val="auto"/>
          <w:sz w:val="32"/>
          <w:szCs w:val="32"/>
          <w:highlight w:val="none"/>
          <w:lang w:val="en-US" w:eastAsia="zh-CN"/>
        </w:rPr>
        <w:t xml:space="preserve">万元主要用于补贴11万亩小麦、补贴标准215.87元/亩、补贴资金2319万元</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实施1000亩地的耕地轮作补助</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标准为150元/亩，</w:t>
      </w:r>
      <w:r>
        <w:rPr>
          <w:rFonts w:ascii="Times New Roman" w:eastAsia="仿宋_GB2312" w:hAnsi="Times New Roman" w:cs="Times New Roman" w:hint="eastAsia"/>
          <w:color w:val="auto"/>
          <w:sz w:val="32"/>
          <w:szCs w:val="32"/>
          <w:highlight w:val="none"/>
          <w:lang w:val="en-US" w:eastAsia="zh-CN"/>
        </w:rPr>
        <w:t xml:space="preserve">补贴资金</w:t>
      </w:r>
      <w:r>
        <w:rPr>
          <w:rFonts w:ascii="Times New Roman" w:eastAsia="仿宋_GB2312" w:hAnsi="Times New Roman" w:cs="Times New Roman" w:hint="default"/>
          <w:color w:val="auto"/>
          <w:sz w:val="32"/>
          <w:szCs w:val="32"/>
          <w:highlight w:val="none"/>
          <w:lang w:val="en-US" w:eastAsia="zh-CN"/>
        </w:rPr>
        <w:t xml:space="preserve">15万元</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其中阿勒腾也木勒乡800亩，吉也克镇200亩</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自治区资金用于11万亩冬小麦补贴、补贴标准14.13元/亩、补贴金额155.42万元；自治区资金用于3万亩春小麦补贴、补贴标准101.78元/亩，补贴资金305.34万元。</w:t>
      </w:r>
    </w:p>
    <w:p>
      <w:pPr>
        <w:spacing w:line="560" w:lineRule="exact"/>
        <w:ind w:firstLine="640" w:firstLineChars="200"/>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实施情况：全年预算资金2794.76万元，全年执行资金2794.76万元，资金执行率为100%。截止2024年12月25日，一是在5个乡镇实施冬、春小麦补贴，补贴资金2779.76万元，补贴冬春小麦面积14.80085万亩，其中冬小麦发放1223户，春小麦发放718户，二是实施1000亩地的耕地轮作15万元，补助标准为150元/亩，其中阿勒腾也木勒乡800亩，吉也克镇200亩。通过本项目的实施</w:t>
      </w:r>
      <w:r>
        <w:rPr>
          <w:rFonts w:ascii="Times New Roman" w:eastAsia="仿宋_GB2312" w:hAnsi="Times New Roman" w:cs="Times New Roman" w:hint="eastAsia"/>
          <w:color w:val="auto"/>
          <w:sz w:val="32"/>
          <w:szCs w:val="32"/>
          <w:highlight w:val="none"/>
          <w:lang w:val="en-US" w:eastAsia="zh-CN"/>
        </w:rPr>
        <w:t xml:space="preserve">，有效的提高了土地的利用率，保护耕地质量，</w:t>
      </w:r>
      <w:r>
        <w:rPr>
          <w:rFonts w:ascii="Times New Roman" w:eastAsia="仿宋_GB2312" w:hAnsi="Times New Roman" w:cs="Times New Roman" w:hint="default"/>
          <w:color w:val="auto"/>
          <w:sz w:val="32"/>
          <w:szCs w:val="32"/>
          <w:highlight w:val="none"/>
          <w:lang w:val="en-US" w:eastAsia="zh-CN"/>
        </w:rPr>
        <w:t xml:space="preserve">逐渐提高种粮农民积极性</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显著提高种粮农民经济收益</w:t>
      </w:r>
      <w:r>
        <w:rPr>
          <w:rFonts w:ascii="Times New Roman" w:eastAsia="仿宋_GB2312" w:hAnsi="Times New Roman" w:cs="Times New Roman" w:hint="eastAsia"/>
          <w:color w:val="auto"/>
          <w:sz w:val="32"/>
          <w:szCs w:val="32"/>
          <w:highlight w:val="none"/>
          <w:lang w:val="en-US" w:eastAsia="zh-CN"/>
        </w:rPr>
        <w:t xml:space="preserve">。</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ascii="Times New Roman" w:eastAsia="仿宋_GB2312" w:hAnsi="Times New Roman" w:cs="Times New Roman" w:hint="eastAsia"/>
          <w:color w:val="auto"/>
          <w:sz w:val="32"/>
          <w:szCs w:val="32"/>
          <w:highlight w:val="none"/>
          <w:lang w:val="en-US" w:eastAsia="zh-CN"/>
        </w:rPr>
        <w:t xml:space="preserve">2779.76</w:t>
      </w:r>
      <w:r>
        <w:rPr>
          <w:rFonts w:ascii="Times New Roman" w:eastAsia="仿宋_GB2312" w:hAnsi="Times New Roman" w:cs="Times New Roman" w:hint="default"/>
          <w:color w:val="auto"/>
          <w:sz w:val="32"/>
          <w:szCs w:val="32"/>
          <w:highlight w:val="none"/>
          <w:lang w:val="en-US" w:eastAsia="zh-CN"/>
        </w:rPr>
        <w:t xml:space="preserve">万元，全年预算数</w:t>
      </w:r>
      <w:r>
        <w:rPr>
          <w:rFonts w:ascii="Times New Roman" w:eastAsia="仿宋_GB2312" w:hAnsi="Times New Roman" w:cs="Times New Roman" w:hint="eastAsia"/>
          <w:color w:val="auto"/>
          <w:sz w:val="32"/>
          <w:szCs w:val="32"/>
          <w:highlight w:val="none"/>
          <w:lang w:val="en-US" w:eastAsia="zh-CN"/>
        </w:rPr>
        <w:t xml:space="preserve">2794.76</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ascii="Times New Roman" w:eastAsia="仿宋_GB2312" w:hAnsi="Times New Roman" w:cs="Times New Roman" w:hint="eastAsia"/>
          <w:color w:val="auto"/>
          <w:sz w:val="32"/>
          <w:szCs w:val="32"/>
          <w:highlight w:val="none"/>
          <w:lang w:val="en-US" w:eastAsia="zh-CN"/>
        </w:rPr>
        <w:t xml:space="preserve">财政拨款</w:t>
      </w:r>
      <w:r>
        <w:rPr>
          <w:rFonts w:ascii="Times New Roman" w:eastAsia="仿宋_GB2312" w:hAnsi="Times New Roman" w:cs="Times New Roman" w:hint="default"/>
          <w:color w:val="auto"/>
          <w:sz w:val="32"/>
          <w:szCs w:val="32"/>
          <w:highlight w:val="none"/>
          <w:lang w:val="en-US" w:eastAsia="zh-CN"/>
        </w:rPr>
        <w:t xml:space="preserve">。</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ascii="Times New Roman" w:eastAsia="仿宋_GB2312" w:hAnsi="Times New Roman" w:cs="Times New Roman" w:hint="eastAsia"/>
          <w:color w:val="auto"/>
          <w:sz w:val="32"/>
          <w:szCs w:val="32"/>
          <w:highlight w:val="none"/>
          <w:lang w:val="en-US" w:eastAsia="zh-CN"/>
        </w:rPr>
        <w:t xml:space="preserve">2779.76</w:t>
      </w:r>
      <w:r>
        <w:rPr>
          <w:rFonts w:ascii="Times New Roman" w:eastAsia="仿宋_GB2312" w:hAnsi="Times New Roman" w:cs="Times New Roman" w:hint="default"/>
          <w:color w:val="auto"/>
          <w:sz w:val="32"/>
          <w:szCs w:val="32"/>
          <w:highlight w:val="none"/>
          <w:lang w:val="en-US" w:eastAsia="zh-CN"/>
        </w:rPr>
        <w:t xml:space="preserve">万元，全年预算数</w:t>
      </w:r>
      <w:r>
        <w:rPr>
          <w:rFonts w:ascii="Times New Roman" w:eastAsia="仿宋_GB2312" w:hAnsi="Times New Roman" w:cs="Times New Roman" w:hint="eastAsia"/>
          <w:color w:val="auto"/>
          <w:sz w:val="32"/>
          <w:szCs w:val="32"/>
          <w:highlight w:val="none"/>
          <w:lang w:val="en-US" w:eastAsia="zh-CN"/>
        </w:rPr>
        <w:t xml:space="preserve">2794.76</w:t>
      </w:r>
      <w:r>
        <w:rPr>
          <w:rFonts w:ascii="Times New Roman" w:eastAsia="仿宋_GB2312" w:hAnsi="Times New Roman" w:cs="Times New Roman" w:hint="default"/>
          <w:color w:val="auto"/>
          <w:sz w:val="32"/>
          <w:szCs w:val="32"/>
          <w:highlight w:val="none"/>
          <w:lang w:val="en-US" w:eastAsia="zh-CN"/>
        </w:rPr>
        <w:t xml:space="preserve">万</w:t>
      </w:r>
      <w:r>
        <w:rPr>
          <w:rFonts w:ascii="Times New Roman" w:eastAsia="仿宋_GB2312" w:hAnsi="Times New Roman" w:cs="Times New Roman" w:hint="eastAsia"/>
          <w:color w:val="auto"/>
          <w:sz w:val="32"/>
          <w:szCs w:val="32"/>
          <w:highlight w:val="none"/>
          <w:lang w:val="en-US" w:eastAsia="zh-CN"/>
        </w:rPr>
        <w:t xml:space="preserve">元</w:t>
      </w:r>
      <w:r>
        <w:rPr>
          <w:rFonts w:ascii="Times New Roman" w:eastAsia="仿宋_GB2312" w:hAnsi="Times New Roman" w:cs="Times New Roman" w:hint="default"/>
          <w:color w:val="auto"/>
          <w:sz w:val="32"/>
          <w:szCs w:val="32"/>
          <w:highlight w:val="none"/>
          <w:lang w:val="en-US" w:eastAsia="zh-CN"/>
        </w:rPr>
        <w:t xml:space="preserve">，全年执行数</w:t>
      </w:r>
      <w:r>
        <w:rPr>
          <w:rFonts w:ascii="Times New Roman" w:eastAsia="仿宋_GB2312" w:hAnsi="Times New Roman" w:cs="Times New Roman" w:hint="eastAsia"/>
          <w:color w:val="auto"/>
          <w:sz w:val="32"/>
          <w:szCs w:val="32"/>
          <w:highlight w:val="none"/>
          <w:lang w:val="en-US" w:eastAsia="zh-CN"/>
        </w:rPr>
        <w:t xml:space="preserve">2794.76</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ascii="Times New Roman" w:eastAsia="仿宋_GB2312" w:hAnsi="Times New Roman"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%，主要用于：冬小麦和春小麦种植户的补贴。</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（二）项目绩效目标</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 xml:space="preserve">裕民县农业农村局2024年实施《关于提前下达2024年中央耕地建设与利用资金（耕地力保护补贴）预算的通知》(塔地财农[2023]22号裕财[2023]19号)、《2024年自治区农业生产发展资金（耕地地力保护补贴）》(塔地财农[2023]36号裕财[2023]29号)《关于下达2024年中央耕地建设与利用资金预算的通知--耕地轮作》（塔地财农[2024]10号裕财农[2024]8号）项目，预算资金2794.76万元，计划在5个乡镇实施补贴11万亩的小麦补贴及1000亩地的耕地轮作。通过本项目的实施将显著提高种粮农民经济收益、逐渐提高种粮农民积极性。</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2.阶段性目标（指的是项目分阶段性要做的工作内容，也是对总体目标的细化。建议根据项目情况自行修改描述，具体可以围绕：季度或者半年度要完成的工作内容或任务目标，进行描述）</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eastAsia"/>
          <w:color w:val="auto"/>
          <w:sz w:val="32"/>
          <w:szCs w:val="32"/>
          <w:highlight w:val="none"/>
          <w:lang w:val="en-US" w:eastAsia="zh-CN"/>
        </w:rPr>
        <w:t xml:space="preserve">2024年实施《关于提前下达2024年中央耕地建设与利用资金（耕地力保护补贴）预算的通知》(塔地财农[2023]22号裕财[2023]19号)、《2024年自治区农业生产发展资金（耕地地力保护补贴）》(塔地财农[2023]36号裕财[2023]29号)《关于下达2024年中央耕地建设与利用资金预算的通知--耕地轮作》（塔地财农[2024]10号裕财农[2024]8号）项目，项目下达后建立补贴面积核查数据，按照农民申报的补贴面积进行实地核查，包括耕地面积、耕地位置、种植作物种类、土地利用现状等，确保核查面积的真实性和准确性，为后续发放补贴工作机工坚实的依据和保障。</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1.绩效评价完整性</w:t>
      </w:r>
    </w:p>
    <w:p>
      <w:pPr>
        <w:spacing w:line="560" w:lineRule="exact"/>
        <w:ind w:firstLine="640" w:firstLineChars="200"/>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lang w:val="en-US" w:eastAsia="zh-CN"/>
        </w:rPr>
        <w:t xml:space="preserve">2.</w:t>
      </w:r>
      <w:r>
        <w:rPr>
          <w:rFonts w:ascii="Times New Roman" w:eastAsia="仿宋_GB2312" w:hAnsi="Times New Roman" w:cs="Times New Roman" w:hint="default"/>
          <w:sz w:val="32"/>
          <w:szCs w:val="32"/>
        </w:rPr>
        <w:t xml:space="preserve">绩效评价的目的</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（1）评估项目实施效果</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通过对项目预算执行情况及各项绩效目标达成程度的系统性分析，全面、客观地评估项目在预定周期内的实施效果，包括经济效益、社会效益等多维度指标，为项目后续的改进与优化提供科学依据。</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（2）提升资源利用效率</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（3）强化项目管理责任</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（4）为决策提供支持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（5）促进项目持续改进</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本项目预算绩效评价报告的评价对象是2024年中央耕地建设与利用资金(耕地地力保护补贴)及其预算执行情况。该项目由</w:t>
      </w:r>
      <w:r>
        <w:rPr>
          <w:rFonts w:ascii="Times New Roman" w:eastAsia="仿宋_GB2312" w:hAnsi="Times New Roman" w:cs="Times New Roman" w:hint="eastAsia"/>
          <w:b w:val="0"/>
          <w:bCs w:val="0"/>
          <w:color w:val="auto"/>
          <w:kern w:val="2"/>
          <w:sz w:val="32"/>
          <w:szCs w:val="32"/>
          <w:highlight w:val="none"/>
          <w:lang w:val="en-US" w:eastAsia="zh-CN" w:bidi="ar-SA"/>
        </w:rPr>
        <w:t xml:space="preserve">裕民县农业农村局</w:t>
      </w:r>
      <w:r>
        <w:rPr>
          <w:rFonts w:ascii="Times New Roman" w:eastAsia="仿宋_GB2312" w:hAnsi="Times New Roman" w:cs="Times New Roman" w:hint="default"/>
          <w:b w:val="0"/>
          <w:bCs w:val="0"/>
          <w:color w:val="auto"/>
          <w:kern w:val="2"/>
          <w:sz w:val="32"/>
          <w:szCs w:val="32"/>
          <w:highlight w:val="none"/>
          <w:lang w:val="en-US" w:eastAsia="zh-CN" w:bidi="ar-SA"/>
        </w:rPr>
        <w:t xml:space="preserve">负责实施，旨在提高种粮农民经济收益、逐渐提高种粮农民积极性。项目预算涵盖从</w:t>
      </w:r>
      <w:r>
        <w:rPr>
          <w:rFonts w:ascii="Times New Roman" w:eastAsia="仿宋_GB2312" w:hAnsi="Times New Roman" w:cs="Times New Roman" w:hint="eastAsia"/>
          <w:b w:val="0"/>
          <w:bCs w:val="0"/>
          <w:color w:val="auto"/>
          <w:kern w:val="2"/>
          <w:sz w:val="32"/>
          <w:szCs w:val="32"/>
          <w:highlight w:val="none"/>
          <w:lang w:val="en-US" w:eastAsia="zh-CN" w:bidi="ar-SA"/>
        </w:rPr>
        <w:t xml:space="preserve">2024年1月1日</w:t>
      </w:r>
      <w:r>
        <w:rPr>
          <w:rFonts w:ascii="Times New Roman" w:eastAsia="仿宋_GB2312" w:hAnsi="Times New Roman" w:cs="Times New Roman" w:hint="default"/>
          <w:b w:val="0"/>
          <w:bCs w:val="0"/>
          <w:color w:val="auto"/>
          <w:kern w:val="2"/>
          <w:sz w:val="32"/>
          <w:szCs w:val="32"/>
          <w:highlight w:val="none"/>
          <w:lang w:val="en-US" w:eastAsia="zh-CN" w:bidi="ar-SA"/>
        </w:rPr>
        <w:t xml:space="preserve">至</w:t>
      </w:r>
      <w:r>
        <w:rPr>
          <w:rFonts w:ascii="Times New Roman" w:eastAsia="仿宋_GB2312" w:hAnsi="Times New Roman" w:cs="Times New Roman" w:hint="eastAsia"/>
          <w:b w:val="0"/>
          <w:bCs w:val="0"/>
          <w:color w:val="auto"/>
          <w:kern w:val="2"/>
          <w:sz w:val="32"/>
          <w:szCs w:val="32"/>
          <w:highlight w:val="none"/>
          <w:lang w:val="en-US" w:eastAsia="zh-CN" w:bidi="ar-SA"/>
        </w:rPr>
        <w:t xml:space="preserve">2024年12月25日</w:t>
      </w:r>
      <w:r>
        <w:rPr>
          <w:rFonts w:ascii="Times New Roman" w:eastAsia="仿宋_GB2312" w:hAnsi="Times New Roman" w:cs="Times New Roman" w:hint="default"/>
          <w:b w:val="0"/>
          <w:bCs w:val="0"/>
          <w:color w:val="auto"/>
          <w:kern w:val="2"/>
          <w:sz w:val="32"/>
          <w:szCs w:val="32"/>
          <w:highlight w:val="none"/>
          <w:lang w:val="en-US" w:eastAsia="zh-CN" w:bidi="ar-SA"/>
        </w:rPr>
        <w:t xml:space="preserve">的全部资金投入与支出，涉及资金总额为</w:t>
      </w:r>
      <w:r>
        <w:rPr>
          <w:rFonts w:ascii="Times New Roman" w:eastAsia="仿宋_GB2312" w:hAnsi="Times New Roman" w:cs="Times New Roman" w:hint="eastAsia"/>
          <w:b w:val="0"/>
          <w:bCs w:val="0"/>
          <w:color w:val="auto"/>
          <w:kern w:val="2"/>
          <w:sz w:val="32"/>
          <w:szCs w:val="32"/>
          <w:highlight w:val="none"/>
          <w:lang w:val="en-US" w:eastAsia="zh-CN" w:bidi="ar-SA"/>
        </w:rPr>
        <w:t xml:space="preserve">2794.76</w:t>
      </w:r>
      <w:r>
        <w:rPr>
          <w:rFonts w:ascii="Times New Roman" w:eastAsia="仿宋_GB2312" w:hAnsi="Times New Roman" w:cs="Times New Roman" w:hint="default"/>
          <w:b w:val="0"/>
          <w:bCs w:val="0"/>
          <w:color w:val="auto"/>
          <w:kern w:val="2"/>
          <w:sz w:val="32"/>
          <w:szCs w:val="32"/>
          <w:highlight w:val="none"/>
          <w:lang w:val="en-US" w:eastAsia="zh-CN" w:bidi="ar-SA"/>
        </w:rPr>
        <w:t xml:space="preserve">万元。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4.绩效评价的范围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社会、</w:t>
      </w:r>
      <w:r>
        <w:rPr>
          <w:rFonts w:ascii="Times New Roman" w:eastAsia="仿宋_GB2312" w:hAnsi="Times New Roman" w:cs="Times New Roman" w:hint="eastAsia"/>
          <w:b w:val="0"/>
          <w:bCs w:val="0"/>
          <w:color w:val="auto"/>
          <w:kern w:val="2"/>
          <w:sz w:val="32"/>
          <w:szCs w:val="32"/>
          <w:highlight w:val="none"/>
          <w:lang w:val="en-US" w:eastAsia="zh-CN" w:bidi="ar-SA"/>
        </w:rPr>
        <w:t xml:space="preserve">生态</w:t>
      </w:r>
      <w:r>
        <w:rPr>
          <w:rFonts w:ascii="Times New Roman" w:eastAsia="仿宋_GB2312" w:hAnsi="Times New Roman" w:cs="Times New Roman" w:hint="default"/>
          <w:b w:val="0"/>
          <w:bCs w:val="0"/>
          <w:color w:val="auto"/>
          <w:kern w:val="2"/>
          <w:sz w:val="32"/>
          <w:szCs w:val="32"/>
          <w:highlight w:val="none"/>
          <w:lang w:val="en-US" w:eastAsia="zh-CN" w:bidi="ar-SA"/>
        </w:rPr>
        <w:t xml:space="preserve">等影响：考察项目对社会、经济等方面的综合影响。</w:t>
      </w:r>
    </w:p>
    <w:p>
      <w:pPr>
        <w:spacing w:line="560" w:lineRule="exact"/>
        <w:ind w:firstLine="640" w:firstLineChars="200"/>
        <w:rPr>
          <w:rFonts w:ascii="Times New Roman" w:hAnsi="Times New Roman" w:cs="Times New Roman" w:hint="default"/>
        </w:rPr>
      </w:pPr>
      <w:r>
        <w:rPr>
          <w:rFonts w:ascii="Times New Roman" w:eastAsia="楷体_GB2312" w:hAnsi="Times New Roman" w:cs="Times New Roman" w:hint="default"/>
          <w:b/>
          <w:bCs/>
          <w:sz w:val="32"/>
          <w:szCs w:val="32"/>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绩效评价原则</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本次项目绩效评价遵循以下基本原则：</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（1）科学公正。绩效评价应当运用科学合理的方法，按照规范的程序，对项目绩效进行客观、公正的反映。</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（2）统筹兼顾。单位自评、部门评价和财政评价应职责明确，各有侧重，相互衔接。单位自评应由项目单位自主实施，即“谁支出、谁自评”。部门评价和财政评价应在单位自评的基础上开展。</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（3）激励约束。绩效评价结果应与预算安排、政策调整、改进管理实质性挂钩，体现奖优罚劣和激励相容导向，有效要安排、低效要压减、无效要问责。</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评价指标体系</w:t>
      </w:r>
    </w:p>
    <w:p>
      <w:pPr>
        <w:spacing w:line="560" w:lineRule="exact"/>
        <w:ind w:firstLine="640" w:firstLineChars="200"/>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auto"/>
          <w:sz w:val="32"/>
          <w:szCs w:val="32"/>
          <w:highlight w:val="none"/>
          <w:lang w:val="en-US" w:eastAsia="zh-CN"/>
        </w:rPr>
        <w:t xml:space="preserve">绩效评价框架是开展绩效评价的核心。绩效评价框架包括评价准则、关键评价问题、评价指标、数据来源、数据收集方法等。指标体系建立过程如下</w:t>
      </w:r>
      <w:r>
        <w:rPr>
          <w:rFonts w:ascii="Times New Roman" w:eastAsia="仿宋_GB2312" w:hAnsi="Times New Roman" w:cs="Times New Roman" w:hint="default"/>
          <w:color w:val="000000"/>
          <w:spacing w:val="17"/>
          <w:sz w:val="32"/>
          <w:szCs w:val="32"/>
        </w:rPr>
        <w:t xml:space="preserve">：</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（1）确定评价指标</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（2）确定权重</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确定各个指标相对于项目总体绩效的权重分值。在绩效评价指标体系中，项目决策权重为20分，项目过程权重为20分，项目产出权重为40分，项目效益权重为20分</w:t>
      </w:r>
      <w:r>
        <w:rPr>
          <w:rFonts w:eastAsia="仿宋_GB2312" w:cs="Times New Roman" w:hint="eastAsia"/>
          <w:color w:val="auto"/>
          <w:sz w:val="32"/>
          <w:szCs w:val="32"/>
          <w:highlight w:val="none"/>
          <w:lang w:val="en-US" w:eastAsia="zh-CN"/>
        </w:rPr>
        <w:t xml:space="preserve">。</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（3）确定指标标准值</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指标标准值是绩效评价指标的尺度，既要反映同类项目的先进水平，又要符合项目的实际绩效水平。具体采用计划标准等确定此次绩效评价指标标准值。</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（一）成本效益分析法。是指将投入与产出、效益进行关联性分析的方法。</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（二）比较法。是指将实施情况与绩效目标、历史情况、不同部门和地区同类支出情况进行比较的方法。</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（三）因素分析法。是指综合分析影响绩效目标实现、实施效果的内外部因素的方法。</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（四）公众评判法。是指通过专家评估、公众问卷及抽样调查等方式进行评判的方法。</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（五）其他评价方法。</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绩效评价标准通常包括计划标准、行业标准、历史标准等，用于对绩效指标完成情况进行比较、分析、评价。本次评价主要采用了</w:t>
      </w:r>
      <w:r>
        <w:rPr>
          <w:rFonts w:ascii="Times New Roman" w:eastAsia="仿宋_GB2312" w:hAnsi="Times New Roman" w:cs="Times New Roman" w:hint="eastAsia"/>
          <w:b w:val="0"/>
          <w:bCs w:val="0"/>
          <w:color w:val="auto"/>
          <w:kern w:val="2"/>
          <w:sz w:val="32"/>
          <w:szCs w:val="32"/>
          <w:highlight w:val="none"/>
          <w:lang w:val="en-US" w:eastAsia="zh-CN" w:bidi="ar-SA"/>
        </w:rPr>
        <w:t xml:space="preserve">计划</w:t>
      </w:r>
      <w:r>
        <w:rPr>
          <w:rFonts w:ascii="Times New Roman" w:eastAsia="仿宋_GB2312" w:hAnsi="Times New Roman" w:cs="Times New Roman" w:hint="default"/>
          <w:b w:val="0"/>
          <w:bCs w:val="0"/>
          <w:color w:val="auto"/>
          <w:kern w:val="2"/>
          <w:sz w:val="32"/>
          <w:szCs w:val="32"/>
          <w:highlight w:val="none"/>
          <w:lang w:val="en-US" w:eastAsia="zh-CN" w:bidi="ar-SA"/>
        </w:rPr>
        <w:t xml:space="preserve">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（1）计划标准。指以预先制定的目标、计划、预算、定额等作为评价标准。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（2）行业标准。指参照国家公布的行业指标数据制定的评价标准。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（3）历史标准。指参照历史数据制定的评价标准，为体现绩效改进的原则，在可实现的条件下应当确定相对较高的评价标准。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（4）财政部门和预算部门确认或认可的其他标准。</w:t>
      </w:r>
    </w:p>
    <w:p>
      <w:pPr>
        <w:pStyle w:val="Title"/>
        <w:numPr>
          <w:ilvl w:val="0"/>
          <w:numId w:val="6"/>
        </w:numPr>
        <w:spacing w:before="0" w:after="0" w:line="560" w:lineRule="exact"/>
        <w:ind w:firstLine="640" w:firstLineChars="200"/>
        <w:jc w:val="both"/>
        <w:rPr>
          <w:rFonts w:ascii="Times New Roman" w:eastAsia="楷体" w:hAnsi="Times New Roman" w:cs="Times New Roman" w:hint="default"/>
          <w:color w:val="000000"/>
          <w:spacing w:val="17"/>
        </w:rPr>
      </w:pPr>
      <w:r>
        <w:rPr>
          <w:rFonts w:ascii="Times New Roman" w:eastAsia="楷体" w:hAnsi="Times New Roman" w:cs="Times New Roman" w:hint="default"/>
          <w:color w:val="000000"/>
          <w:spacing w:val="17"/>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（1）前期准备与规划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在项目绩效评价工作启动之初，成立了专门的评价工作小组，小组成员由财务</w:t>
      </w:r>
      <w:r>
        <w:rPr>
          <w:rFonts w:ascii="Times New Roman" w:eastAsia="仿宋_GB2312" w:hAnsi="Times New Roman" w:cs="Times New Roman" w:hint="eastAsia"/>
          <w:b w:val="0"/>
          <w:bCs w:val="0"/>
          <w:color w:val="auto"/>
          <w:kern w:val="2"/>
          <w:sz w:val="32"/>
          <w:szCs w:val="32"/>
          <w:highlight w:val="none"/>
          <w:lang w:val="en-US" w:eastAsia="zh-CN" w:bidi="ar-SA"/>
        </w:rPr>
        <w:t xml:space="preserve">人员</w:t>
      </w:r>
      <w:r>
        <w:rPr>
          <w:rFonts w:ascii="Times New Roman" w:eastAsia="仿宋_GB2312" w:hAnsi="Times New Roman" w:cs="Times New Roman" w:hint="default"/>
          <w:b w:val="0"/>
          <w:bCs w:val="0"/>
          <w:color w:val="auto"/>
          <w:kern w:val="2"/>
          <w:sz w:val="32"/>
          <w:szCs w:val="32"/>
          <w:highlight w:val="none"/>
          <w:lang w:val="en-US" w:eastAsia="zh-CN" w:bidi="ar-SA"/>
        </w:rPr>
        <w:t xml:space="preserve">、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（2）指标体系构建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（3）数据收集与整理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（4）数据分析与评估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（5）报告撰写与反馈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（6）后续跟踪与改进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5"/>
        </w:num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本项目的综合评价基于对项目各方面绩效的深入分析与评估。从项目目标的达成情况来看，2024年中央耕地建设与利用资金(耕地地力保护补贴)在补贴冬小麦面积、耕地轮作面积</w:t>
      </w:r>
      <w:r>
        <w:rPr>
          <w:rFonts w:ascii="Times New Roman" w:eastAsia="仿宋_GB2312" w:hAnsi="Times New Roman" w:cs="Times New Roman" w:hint="eastAsia"/>
          <w:b w:val="0"/>
          <w:bCs w:val="0"/>
          <w:color w:val="auto"/>
          <w:kern w:val="2"/>
          <w:sz w:val="32"/>
          <w:szCs w:val="32"/>
          <w:highlight w:val="none"/>
          <w:lang w:val="en-US" w:eastAsia="zh-CN" w:bidi="ar-SA"/>
        </w:rPr>
        <w:t xml:space="preserve">补贴</w:t>
      </w:r>
      <w:r>
        <w:rPr>
          <w:rFonts w:ascii="Times New Roman" w:eastAsia="仿宋_GB2312" w:hAnsi="Times New Roman" w:cs="Times New Roman" w:hint="default"/>
          <w:b w:val="0"/>
          <w:bCs w:val="0"/>
          <w:color w:val="auto"/>
          <w:kern w:val="2"/>
          <w:sz w:val="32"/>
          <w:szCs w:val="32"/>
          <w:highlight w:val="none"/>
          <w:lang w:val="en-US" w:eastAsia="zh-CN" w:bidi="ar-SA"/>
        </w:rPr>
        <w:t xml:space="preserve">等方面表现出色，达到了预期的标准与要求。同时，项目也在</w:t>
      </w:r>
      <w:r>
        <w:rPr>
          <w:rFonts w:ascii="Times New Roman" w:eastAsia="仿宋_GB2312" w:hAnsi="Times New Roman" w:cs="Times New Roman" w:hint="eastAsia"/>
          <w:b w:val="0"/>
          <w:bCs w:val="0"/>
          <w:color w:val="auto"/>
          <w:kern w:val="2"/>
          <w:sz w:val="32"/>
          <w:szCs w:val="32"/>
          <w:highlight w:val="none"/>
          <w:lang w:val="en-US" w:eastAsia="zh-CN" w:bidi="ar-SA"/>
        </w:rPr>
        <w:t xml:space="preserve">实施过程中</w:t>
      </w:r>
      <w:r>
        <w:rPr>
          <w:rFonts w:ascii="Times New Roman" w:eastAsia="仿宋_GB2312" w:hAnsi="Times New Roman" w:cs="Times New Roman" w:hint="default"/>
          <w:b w:val="0"/>
          <w:bCs w:val="0"/>
          <w:color w:val="auto"/>
          <w:kern w:val="2"/>
          <w:sz w:val="32"/>
          <w:szCs w:val="32"/>
          <w:highlight w:val="none"/>
          <w:lang w:val="en-US" w:eastAsia="zh-CN" w:bidi="ar-SA"/>
        </w:rPr>
        <w:t xml:space="preserve">取得了显著的成效，如增加种植小麦农民全年总收入、提高种粮农民积极性等。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在项目管理方面，</w:t>
      </w:r>
      <w:r>
        <w:rPr>
          <w:rFonts w:ascii="Times New Roman" w:eastAsia="仿宋_GB2312" w:hAnsi="Times New Roman" w:cs="Times New Roman" w:hint="eastAsia"/>
          <w:b w:val="0"/>
          <w:bCs w:val="0"/>
          <w:color w:val="auto"/>
          <w:kern w:val="2"/>
          <w:sz w:val="32"/>
          <w:szCs w:val="32"/>
          <w:highlight w:val="none"/>
          <w:lang w:val="en-US" w:eastAsia="zh-CN" w:bidi="ar-SA"/>
        </w:rPr>
        <w:t xml:space="preserve">裕民县农业农村局</w:t>
      </w:r>
      <w:r>
        <w:rPr>
          <w:rFonts w:ascii="Times New Roman" w:eastAsia="仿宋_GB2312" w:hAnsi="Times New Roman" w:cs="Times New Roman" w:hint="default"/>
          <w:b w:val="0"/>
          <w:bCs w:val="0"/>
          <w:color w:val="auto"/>
          <w:kern w:val="2"/>
          <w:sz w:val="32"/>
          <w:szCs w:val="32"/>
          <w:highlight w:val="none"/>
          <w:lang w:val="en-US" w:eastAsia="zh-CN" w:bidi="ar-SA"/>
        </w:rPr>
        <w:t xml:space="preserve">通过有效的规划、组织与协调，项目得以顺利实施，并在预算与时间上保持了良好的控制。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从项目效益的角度来看，本项目不仅实现了预期的社会效益、</w:t>
      </w:r>
      <w:r>
        <w:rPr>
          <w:rFonts w:ascii="Times New Roman" w:eastAsia="仿宋_GB2312" w:hAnsi="Times New Roman" w:cs="Times New Roman" w:hint="eastAsia"/>
          <w:b w:val="0"/>
          <w:bCs w:val="0"/>
          <w:color w:val="auto"/>
          <w:kern w:val="2"/>
          <w:sz w:val="32"/>
          <w:szCs w:val="32"/>
          <w:highlight w:val="none"/>
          <w:lang w:val="en-US" w:eastAsia="zh-CN" w:bidi="ar-SA"/>
        </w:rPr>
        <w:t xml:space="preserve">经济效益</w:t>
      </w:r>
      <w:r>
        <w:rPr>
          <w:rFonts w:ascii="Times New Roman" w:eastAsia="仿宋_GB2312" w:hAnsi="Times New Roman" w:cs="Times New Roman" w:hint="default"/>
          <w:b w:val="0"/>
          <w:bCs w:val="0"/>
          <w:color w:val="auto"/>
          <w:kern w:val="2"/>
          <w:sz w:val="32"/>
          <w:szCs w:val="32"/>
          <w:highlight w:val="none"/>
          <w:lang w:val="en-US" w:eastAsia="zh-CN" w:bidi="ar-SA"/>
        </w:rPr>
        <w:t xml:space="preserve">等方面产生了积极的影响。具体而言，增加种植小麦农民全年总收入</w:t>
      </w:r>
      <w:r>
        <w:rPr>
          <w:rFonts w:ascii="Times New Roman" w:eastAsia="仿宋_GB2312" w:hAnsi="Times New Roman" w:cs="Times New Roman" w:hint="eastAsia"/>
          <w:b w:val="0"/>
          <w:bCs w:val="0"/>
          <w:color w:val="auto"/>
          <w:kern w:val="2"/>
          <w:sz w:val="32"/>
          <w:szCs w:val="32"/>
          <w:highlight w:val="none"/>
          <w:lang w:val="en-US" w:eastAsia="zh-CN" w:bidi="ar-SA"/>
        </w:rPr>
        <w:t xml:space="preserve">、提高种粮农民积极性</w:t>
      </w:r>
      <w:r>
        <w:rPr>
          <w:rFonts w:ascii="Times New Roman" w:eastAsia="仿宋_GB2312" w:hAnsi="Times New Roman" w:cs="Times New Roman" w:hint="default"/>
          <w:b w:val="0"/>
          <w:bCs w:val="0"/>
          <w:color w:val="auto"/>
          <w:kern w:val="2"/>
          <w:sz w:val="32"/>
          <w:szCs w:val="32"/>
          <w:highlight w:val="none"/>
          <w:lang w:val="en-US" w:eastAsia="zh-CN" w:bidi="ar-SA"/>
        </w:rPr>
        <w:t xml:space="preserve">等方面的提升，为项目的利益相关者带来了实实在在的利益。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综上所述，2024年中央耕地建设与利用资金(耕地地力保护补贴)在绩效评价中表现出色，达到了项目的预期目标，并在多个方面取得了显著的成效。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kern w:val="2"/>
          <w:sz w:val="32"/>
          <w:szCs w:val="32"/>
          <w:highlight w:val="none"/>
          <w:lang w:val="en-US" w:eastAsia="zh-CN" w:bidi="ar-SA"/>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eastAsia="仿宋_GB2312" w:hAnsi="Times New Roman" w:cs="Times New Roman" w:hint="eastAsia"/>
          <w:b w:val="0"/>
          <w:bCs w:val="0"/>
          <w:color w:val="auto"/>
          <w:kern w:val="2"/>
          <w:sz w:val="32"/>
          <w:szCs w:val="32"/>
          <w:highlight w:val="none"/>
          <w:lang w:val="en-US" w:eastAsia="zh-CN" w:bidi="ar-SA"/>
        </w:rPr>
        <w:t xml:space="preserve">100</w:t>
      </w:r>
      <w:r>
        <w:rPr>
          <w:rFonts w:ascii="Times New Roman" w:eastAsia="仿宋_GB2312" w:hAnsi="Times New Roman" w:cs="Times New Roman" w:hint="default"/>
          <w:b w:val="0"/>
          <w:bCs w:val="0"/>
          <w:color w:val="auto"/>
          <w:kern w:val="2"/>
          <w:sz w:val="32"/>
          <w:szCs w:val="32"/>
          <w:highlight w:val="none"/>
          <w:lang w:val="en-US" w:eastAsia="zh-CN" w:bidi="ar-SA"/>
        </w:rPr>
        <w:t xml:space="preserve">分，属于“优（良/中/差）”。其中，项目决策类指标权重为20分，得分为</w:t>
      </w:r>
      <w:r>
        <w:rPr>
          <w:rFonts w:ascii="Times New Roman" w:eastAsia="仿宋_GB2312" w:hAnsi="Times New Roman" w:cs="Times New Roman" w:hint="eastAsia"/>
          <w:b w:val="0"/>
          <w:bCs w:val="0"/>
          <w:color w:val="auto"/>
          <w:kern w:val="2"/>
          <w:sz w:val="32"/>
          <w:szCs w:val="32"/>
          <w:highlight w:val="none"/>
          <w:lang w:val="en-US" w:eastAsia="zh-CN" w:bidi="ar-SA"/>
        </w:rPr>
        <w:t xml:space="preserve">20</w:t>
      </w:r>
      <w:r>
        <w:rPr>
          <w:rFonts w:ascii="Times New Roman" w:eastAsia="仿宋_GB2312" w:hAnsi="Times New Roman" w:cs="Times New Roman" w:hint="default"/>
          <w:b w:val="0"/>
          <w:bCs w:val="0"/>
          <w:color w:val="auto"/>
          <w:kern w:val="2"/>
          <w:sz w:val="32"/>
          <w:szCs w:val="32"/>
          <w:highlight w:val="none"/>
          <w:lang w:val="en-US" w:eastAsia="zh-CN" w:bidi="ar-SA"/>
        </w:rPr>
        <w:t xml:space="preserve">分，得分率为</w:t>
      </w:r>
      <w:r>
        <w:rPr>
          <w:rFonts w:eastAsia="仿宋_GB2312" w:cs="Times New Roman" w:hint="eastAsia"/>
          <w:b w:val="0"/>
          <w:bCs w:val="0"/>
          <w:color w:val="auto"/>
          <w:kern w:val="2"/>
          <w:sz w:val="32"/>
          <w:szCs w:val="32"/>
          <w:highlight w:val="none"/>
          <w:lang w:val="en-US" w:eastAsia="zh-CN" w:bidi="ar-SA"/>
        </w:rPr>
        <w:t xml:space="preserve">100</w:t>
      </w:r>
      <w:r>
        <w:rPr>
          <w:rFonts w:ascii="Times New Roman" w:eastAsia="仿宋_GB2312" w:hAnsi="Times New Roman" w:cs="Times New Roman" w:hint="default"/>
          <w:b w:val="0"/>
          <w:bCs w:val="0"/>
          <w:color w:val="auto"/>
          <w:kern w:val="2"/>
          <w:sz w:val="32"/>
          <w:szCs w:val="32"/>
          <w:highlight w:val="none"/>
          <w:lang w:val="en-US" w:eastAsia="zh-CN" w:bidi="ar-SA"/>
        </w:rPr>
        <w:t xml:space="preserve">%。项目过程类指标权重为20分，得分为</w:t>
      </w:r>
      <w:r>
        <w:rPr>
          <w:rFonts w:ascii="Times New Roman" w:eastAsia="仿宋_GB2312" w:hAnsi="Times New Roman" w:cs="Times New Roman" w:hint="eastAsia"/>
          <w:b w:val="0"/>
          <w:bCs w:val="0"/>
          <w:color w:val="auto"/>
          <w:kern w:val="2"/>
          <w:sz w:val="32"/>
          <w:szCs w:val="32"/>
          <w:highlight w:val="none"/>
          <w:lang w:val="en-US" w:eastAsia="zh-CN" w:bidi="ar-SA"/>
        </w:rPr>
        <w:t xml:space="preserve">20</w:t>
      </w:r>
      <w:r>
        <w:rPr>
          <w:rFonts w:ascii="Times New Roman" w:eastAsia="仿宋_GB2312" w:hAnsi="Times New Roman" w:cs="Times New Roman" w:hint="default"/>
          <w:b w:val="0"/>
          <w:bCs w:val="0"/>
          <w:color w:val="auto"/>
          <w:kern w:val="2"/>
          <w:sz w:val="32"/>
          <w:szCs w:val="32"/>
          <w:highlight w:val="none"/>
          <w:lang w:val="en-US" w:eastAsia="zh-CN" w:bidi="ar-SA"/>
        </w:rPr>
        <w:t xml:space="preserve">分，得分率为</w:t>
      </w:r>
      <w:r>
        <w:rPr>
          <w:rFonts w:eastAsia="仿宋_GB2312" w:cs="Times New Roman" w:hint="eastAsia"/>
          <w:b w:val="0"/>
          <w:bCs w:val="0"/>
          <w:color w:val="auto"/>
          <w:kern w:val="2"/>
          <w:sz w:val="32"/>
          <w:szCs w:val="32"/>
          <w:highlight w:val="none"/>
          <w:lang w:val="en-US" w:eastAsia="zh-CN" w:bidi="ar-SA"/>
        </w:rPr>
        <w:t xml:space="preserve">100</w:t>
      </w:r>
      <w:r>
        <w:rPr>
          <w:rFonts w:ascii="Times New Roman" w:eastAsia="仿宋_GB2312" w:hAnsi="Times New Roman" w:cs="Times New Roman" w:hint="default"/>
          <w:b w:val="0"/>
          <w:bCs w:val="0"/>
          <w:color w:val="auto"/>
          <w:kern w:val="2"/>
          <w:sz w:val="32"/>
          <w:szCs w:val="32"/>
          <w:highlight w:val="none"/>
          <w:lang w:val="en-US" w:eastAsia="zh-CN" w:bidi="ar-SA"/>
        </w:rPr>
        <w:t xml:space="preserve">%。项目产出类指标权重为40分，得分为</w:t>
      </w:r>
      <w:r>
        <w:rPr>
          <w:rFonts w:ascii="Times New Roman" w:eastAsia="仿宋_GB2312" w:hAnsi="Times New Roman" w:cs="Times New Roman" w:hint="eastAsia"/>
          <w:b w:val="0"/>
          <w:bCs w:val="0"/>
          <w:color w:val="auto"/>
          <w:kern w:val="2"/>
          <w:sz w:val="32"/>
          <w:szCs w:val="32"/>
          <w:highlight w:val="none"/>
          <w:lang w:val="en-US" w:eastAsia="zh-CN" w:bidi="ar-SA"/>
        </w:rPr>
        <w:t xml:space="preserve">40</w:t>
      </w:r>
      <w:r>
        <w:rPr>
          <w:rFonts w:ascii="Times New Roman" w:eastAsia="仿宋_GB2312" w:hAnsi="Times New Roman" w:cs="Times New Roman" w:hint="default"/>
          <w:b w:val="0"/>
          <w:bCs w:val="0"/>
          <w:color w:val="auto"/>
          <w:kern w:val="2"/>
          <w:sz w:val="32"/>
          <w:szCs w:val="32"/>
          <w:highlight w:val="none"/>
          <w:lang w:val="en-US" w:eastAsia="zh-CN" w:bidi="ar-SA"/>
        </w:rPr>
        <w:t xml:space="preserve">分，得分率为</w:t>
      </w:r>
      <w:r>
        <w:rPr>
          <w:rFonts w:eastAsia="仿宋_GB2312" w:cs="Times New Roman" w:hint="eastAsia"/>
          <w:b w:val="0"/>
          <w:bCs w:val="0"/>
          <w:color w:val="auto"/>
          <w:kern w:val="2"/>
          <w:sz w:val="32"/>
          <w:szCs w:val="32"/>
          <w:highlight w:val="none"/>
          <w:lang w:val="en-US" w:eastAsia="zh-CN" w:bidi="ar-SA"/>
        </w:rPr>
        <w:t xml:space="preserve">100</w:t>
      </w:r>
      <w:r>
        <w:rPr>
          <w:rFonts w:ascii="Times New Roman" w:eastAsia="仿宋_GB2312" w:hAnsi="Times New Roman" w:cs="Times New Roman" w:hint="default"/>
          <w:b w:val="0"/>
          <w:bCs w:val="0"/>
          <w:color w:val="auto"/>
          <w:kern w:val="2"/>
          <w:sz w:val="32"/>
          <w:szCs w:val="32"/>
          <w:highlight w:val="none"/>
          <w:lang w:val="en-US" w:eastAsia="zh-CN" w:bidi="ar-SA"/>
        </w:rPr>
        <w:t xml:space="preserve">%。项目效益类指标权重为20分，得分为</w:t>
      </w:r>
      <w:r>
        <w:rPr>
          <w:rFonts w:ascii="Times New Roman" w:eastAsia="仿宋_GB2312" w:hAnsi="Times New Roman" w:cs="Times New Roman" w:hint="eastAsia"/>
          <w:b w:val="0"/>
          <w:bCs w:val="0"/>
          <w:color w:val="auto"/>
          <w:kern w:val="2"/>
          <w:sz w:val="32"/>
          <w:szCs w:val="32"/>
          <w:highlight w:val="none"/>
          <w:lang w:val="en-US" w:eastAsia="zh-CN" w:bidi="ar-SA"/>
        </w:rPr>
        <w:t xml:space="preserve">20</w:t>
      </w:r>
      <w:r>
        <w:rPr>
          <w:rFonts w:ascii="Times New Roman" w:eastAsia="仿宋_GB2312" w:hAnsi="Times New Roman" w:cs="Times New Roman" w:hint="default"/>
          <w:b w:val="0"/>
          <w:bCs w:val="0"/>
          <w:color w:val="auto"/>
          <w:kern w:val="2"/>
          <w:sz w:val="32"/>
          <w:szCs w:val="32"/>
          <w:highlight w:val="none"/>
          <w:lang w:val="en-US" w:eastAsia="zh-CN" w:bidi="ar-SA"/>
        </w:rPr>
        <w:t xml:space="preserve">分，得分率为</w:t>
      </w:r>
      <w:r>
        <w:rPr>
          <w:rFonts w:eastAsia="仿宋_GB2312" w:cs="Times New Roman" w:hint="eastAsia"/>
          <w:b w:val="0"/>
          <w:bCs w:val="0"/>
          <w:color w:val="auto"/>
          <w:kern w:val="2"/>
          <w:sz w:val="32"/>
          <w:szCs w:val="32"/>
          <w:highlight w:val="none"/>
          <w:lang w:val="en-US" w:eastAsia="zh-CN" w:bidi="ar-SA"/>
        </w:rPr>
        <w:t xml:space="preserve">100</w:t>
      </w:r>
      <w:r>
        <w:rPr>
          <w:rFonts w:ascii="Times New Roman" w:eastAsia="仿宋_GB2312" w:hAnsi="Times New Roman" w:cs="Times New Roman" w:hint="default"/>
          <w:b w:val="0"/>
          <w:bCs w:val="0"/>
          <w:color w:val="auto"/>
          <w:kern w:val="2"/>
          <w:sz w:val="32"/>
          <w:szCs w:val="32"/>
          <w:highlight w:val="none"/>
          <w:lang w:val="en-US" w:eastAsia="zh-CN" w:bidi="ar-SA"/>
        </w:rPr>
        <w:t xml:space="preserve">%。具体打分情况详见：附件1综合评分表。</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rPr>
      </w:pPr>
      <w:r>
        <w:rPr>
          <w:rFonts w:ascii="Times New Roman" w:eastAsia="仿宋_GB2312" w:hAnsi="Times New Roman" w:cs="Times New Roman" w:hint="default"/>
          <w:sz w:val="21"/>
          <w:szCs w:val="21"/>
        </w:rPr>
        <w:t xml:space="preserve">表1综合评分表</w:t>
      </w:r>
    </w:p>
    <w:tbl>
      <w:tblPr>
        <w:tblStyle w:val="NormalTable"/>
        <w:tblW w:w="8760"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8760" w:type="dxa"/>
          <w:tblInd w:w="0" w:type="dxa"/>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lang w:val="en-US" w:eastAsia="zh-CN"/>
              </w:rPr>
            </w:pPr>
            <w:r>
              <w:rPr>
                <w:rFonts w:eastAsia="仿宋_GB2312" w:cs="Times New Roman" w:hint="eastAsia"/>
                <w:b/>
                <w:bCs/>
                <w:color w:val="000000"/>
                <w:sz w:val="21"/>
                <w:szCs w:val="21"/>
                <w:lang w:val="en-US" w:eastAsia="zh-CN"/>
              </w:rPr>
              <w:t xml:space="preserve">得分率</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项目决策</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项目过程</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eastAsia="仿宋_GB2312" w:cs="Times New Roman" w:hint="eastAsia"/>
                <w:color w:val="000000"/>
                <w:sz w:val="21"/>
                <w:szCs w:val="21"/>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项目产出</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eastAsia="仿宋_GB2312" w:cs="Times New Roman" w:hint="eastAsia"/>
                <w:color w:val="000000"/>
                <w:sz w:val="21"/>
                <w:szCs w:val="21"/>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项目效益</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eastAsia="仿宋_GB2312" w:cs="Times New Roman" w:hint="eastAsia"/>
                <w:color w:val="000000"/>
                <w:sz w:val="21"/>
                <w:szCs w:val="21"/>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合计</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eastAsia="仿宋_GB2312" w:cs="Times New Roman" w:hint="eastAsia"/>
                <w:b/>
                <w:bCs/>
                <w:color w:val="000000"/>
                <w:sz w:val="21"/>
                <w:szCs w:val="21"/>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r>
              <w:rPr>
                <w:rFonts w:eastAsia="仿宋_GB2312" w:cs="Times New Roman" w:hint="eastAsia"/>
                <w:color w:val="000000"/>
                <w:sz w:val="21"/>
                <w:szCs w:val="21"/>
                <w:lang w:val="en-US" w:eastAsia="zh-CN"/>
              </w:rPr>
              <w:t xml:space="preserve">100%</w:t>
            </w:r>
          </w:p>
        </w:tc>
      </w:tr>
    </w:tbl>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rPr>
      </w:pPr>
      <w:r>
        <w:rPr>
          <w:rFonts w:ascii="Times New Roman" w:eastAsia="楷体_GB2312" w:hAnsi="Times New Roman" w:cs="Times New Roman" w:hint="default"/>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该项目立项符合国家相关法律法规及发展政策</w:t>
      </w:r>
      <w:r>
        <w:rPr>
          <w:rFonts w:ascii="Times New Roman" w:eastAsia="仿宋_GB2312" w:hAnsi="Times New Roman" w:cs="Times New Roman" w:hint="default"/>
          <w:sz w:val="30"/>
          <w:szCs w:val="30"/>
          <w:highlight w:val="none"/>
          <w:lang w:val="en-US" w:eastAsia="zh-CN"/>
        </w:rPr>
        <w:t xml:space="preserve">《关于提前下达2024年中央耕地建设与利用资金（耕地力保护补贴）预算的通知》(塔地财农[2023]22号裕财农[2023]19号)</w:t>
      </w:r>
      <w:r>
        <w:rPr>
          <w:rFonts w:eastAsia="仿宋_GB2312" w:cs="Times New Roman" w:hint="eastAsia"/>
          <w:sz w:val="30"/>
          <w:szCs w:val="30"/>
          <w:highlight w:val="none"/>
          <w:lang w:val="en-US" w:eastAsia="zh-CN"/>
        </w:rPr>
        <w:t xml:space="preserve">、《</w:t>
      </w:r>
      <w:r>
        <w:rPr>
          <w:rFonts w:ascii="Times New Roman" w:eastAsia="仿宋_GB2312" w:hAnsi="Times New Roman" w:cs="Times New Roman" w:hint="default"/>
          <w:sz w:val="30"/>
          <w:szCs w:val="30"/>
          <w:highlight w:val="none"/>
          <w:lang w:val="en-US" w:eastAsia="zh-CN"/>
        </w:rPr>
        <w:t xml:space="preserve">2024年自治区农业生产发展资金（耕地地力保护补贴）--直达资金》(塔地财农[2023]36号财农[2023]29号)</w:t>
      </w:r>
      <w:r>
        <w:rPr>
          <w:rFonts w:eastAsia="仿宋_GB2312" w:cs="Times New Roman" w:hint="eastAsia"/>
          <w:sz w:val="30"/>
          <w:szCs w:val="30"/>
          <w:highlight w:val="none"/>
          <w:lang w:val="en-US" w:eastAsia="zh-CN"/>
        </w:rPr>
        <w:t xml:space="preserve">、《</w:t>
      </w:r>
      <w:r>
        <w:rPr>
          <w:rFonts w:ascii="Times New Roman" w:eastAsia="仿宋_GB2312" w:hAnsi="Times New Roman" w:cs="Times New Roman" w:hint="default"/>
          <w:sz w:val="30"/>
          <w:szCs w:val="30"/>
          <w:highlight w:val="none"/>
          <w:lang w:val="en-US" w:eastAsia="zh-CN"/>
        </w:rPr>
        <w:t xml:space="preserve">关于下达2024年中央耕地建设与利用资金预算的通知--耕地轮作</w:t>
      </w:r>
      <w:r>
        <w:rPr>
          <w:rFonts w:eastAsia="仿宋_GB2312" w:cs="Times New Roman" w:hint="eastAsia"/>
          <w:sz w:val="30"/>
          <w:szCs w:val="30"/>
          <w:highlight w:val="none"/>
          <w:lang w:val="en-US" w:eastAsia="zh-CN"/>
        </w:rPr>
        <w:t xml:space="preserve">》（</w:t>
      </w:r>
      <w:r>
        <w:rPr>
          <w:rFonts w:ascii="Times New Roman" w:eastAsia="仿宋_GB2312" w:hAnsi="Times New Roman" w:cs="Times New Roman" w:hint="default"/>
          <w:sz w:val="30"/>
          <w:szCs w:val="30"/>
          <w:highlight w:val="none"/>
          <w:lang w:val="en-US" w:eastAsia="zh-CN"/>
        </w:rPr>
        <w:t xml:space="preserve">塔地财农[2024]10号裕财农[2024]</w:t>
      </w:r>
      <w:r>
        <w:rPr>
          <w:rFonts w:eastAsia="仿宋_GB2312" w:cs="Times New Roman" w:hint="eastAsia"/>
          <w:sz w:val="30"/>
          <w:szCs w:val="30"/>
          <w:highlight w:val="none"/>
          <w:lang w:val="en-US" w:eastAsia="zh-CN"/>
        </w:rPr>
        <w:t xml:space="preserve">8</w:t>
      </w:r>
      <w:r>
        <w:rPr>
          <w:rFonts w:ascii="Times New Roman" w:eastAsia="仿宋_GB2312" w:hAnsi="Times New Roman" w:cs="Times New Roman" w:hint="default"/>
          <w:sz w:val="30"/>
          <w:szCs w:val="30"/>
          <w:highlight w:val="none"/>
          <w:lang w:val="en-US" w:eastAsia="zh-CN"/>
        </w:rPr>
        <w:t xml:space="preserve">号</w:t>
      </w:r>
      <w:r>
        <w:rPr>
          <w:rFonts w:eastAsia="仿宋_GB2312" w:cs="Times New Roman" w:hint="eastAsia"/>
          <w:sz w:val="30"/>
          <w:szCs w:val="30"/>
          <w:highlight w:val="none"/>
          <w:lang w:val="en-US" w:eastAsia="zh-CN"/>
        </w:rPr>
        <w:t xml:space="preserve">）</w:t>
      </w:r>
      <w:r>
        <w:rPr>
          <w:rFonts w:ascii="Times New Roman" w:eastAsia="仿宋_GB2312" w:hAnsi="Times New Roman" w:cs="Times New Roman" w:hint="default"/>
          <w:sz w:val="32"/>
          <w:szCs w:val="32"/>
          <w:lang w:val="en-US" w:eastAsia="zh-CN"/>
        </w:rPr>
        <w:t xml:space="preserve">，符合行业规划要求，围绕本年度工作重点和工作计划制定经费预算，属于公共财政支持范围。本项目与部门内部其他相关项目不重复。部门发展规划及职能文件等归档完整。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（2）立项程序规范性</w:t>
      </w:r>
    </w:p>
    <w:p>
      <w:pPr>
        <w:shd w:val="clear" w:color="auto" w:fill="auto"/>
        <w:spacing w:line="600" w:lineRule="exact"/>
        <w:ind w:firstLine="600" w:firstLineChars="200"/>
        <w:outlineLvl w:val="0"/>
        <w:rPr>
          <w:rFonts w:ascii="Times New Roman" w:eastAsia="仿宋_GB2312" w:hAnsi="Times New Roman" w:cs="Times New Roman" w:hint="default"/>
          <w:sz w:val="30"/>
          <w:szCs w:val="30"/>
          <w:highlight w:val="none"/>
          <w:lang w:val="en-US" w:eastAsia="zh-CN"/>
        </w:rPr>
      </w:pPr>
      <w:r>
        <w:rPr>
          <w:rFonts w:ascii="Times New Roman" w:eastAsia="仿宋_GB2312" w:hAnsi="Times New Roman" w:cs="Times New Roman" w:hint="default"/>
          <w:sz w:val="30"/>
          <w:szCs w:val="30"/>
          <w:highlight w:val="none"/>
          <w:lang w:val="en-US"/>
        </w:rPr>
        <w:t xml:space="preserve">项目申请、设立过程符合相关要求，严格按照审批流程准备符合要求的文件、材料；</w:t>
      </w:r>
      <w:r>
        <w:rPr>
          <w:rFonts w:ascii="Times New Roman" w:eastAsia="仿宋_GB2312" w:hAnsi="Times New Roman" w:cs="Times New Roman" w:hint="default"/>
          <w:sz w:val="30"/>
          <w:szCs w:val="30"/>
          <w:highlight w:val="none"/>
          <w:lang w:val="en-US" w:eastAsia="zh-CN"/>
        </w:rPr>
        <w:t xml:space="preserve">根据工作计划和经费预算，经过与部门项目分管领导沟通、筛选确定经费预算计划，确定最终预算方案。项目的审批文件、材料符合相关要求，项目事前经过必要的可行性研究、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rPr>
        <w:t xml:space="preserve">年初结合实际工作内容</w:t>
      </w:r>
      <w:r>
        <w:rPr>
          <w:rFonts w:ascii="Times New Roman" w:eastAsia="仿宋_GB2312" w:hAnsi="Times New Roman" w:cs="Times New Roman" w:hint="default"/>
          <w:sz w:val="32"/>
          <w:szCs w:val="32"/>
          <w:lang w:val="en-US" w:eastAsia="zh-CN"/>
        </w:rPr>
        <w:t xml:space="preserve">设定绩效目标</w:t>
      </w:r>
      <w:r>
        <w:rPr>
          <w:rFonts w:ascii="Times New Roman" w:eastAsia="仿宋_GB2312" w:hAnsi="Times New Roman" w:cs="Times New Roman" w:hint="default"/>
          <w:sz w:val="32"/>
          <w:szCs w:val="32"/>
          <w:lang w:val="en-US"/>
        </w:rPr>
        <w:t xml:space="preserve">，绩效目标</w:t>
      </w:r>
      <w:r>
        <w:rPr>
          <w:rFonts w:ascii="Times New Roman" w:eastAsia="仿宋_GB2312" w:hAnsi="Times New Roman" w:cs="Times New Roman" w:hint="default"/>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（1）预算编制科学性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（2）资金分配合理性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7"/>
        </w:numPr>
        <w:spacing w:before="0" w:after="0" w:line="560" w:lineRule="exact"/>
        <w:ind w:firstLine="640" w:firstLineChars="200"/>
        <w:jc w:val="both"/>
        <w:rPr>
          <w:rFonts w:ascii="Times New Roman" w:eastAsia="楷体" w:hAnsi="Times New Roman" w:cs="Times New Roman" w:hint="default"/>
        </w:rPr>
      </w:pPr>
      <w:r>
        <w:rPr>
          <w:rFonts w:ascii="Times New Roman" w:eastAsia="楷体" w:hAnsi="Times New Roman" w:cs="Times New Roman" w:hint="default"/>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项目过程类指标包括资金管理和组织实施两方面的内容，由5个三级指标构成，权重分值为20分，实际得分</w:t>
      </w:r>
      <w:r>
        <w:rPr>
          <w:rFonts w:ascii="Times New Roman" w:eastAsia="仿宋_GB2312" w:hAnsi="Times New Roman" w:cs="Times New Roman" w:hint="eastAsia"/>
          <w:sz w:val="32"/>
          <w:szCs w:val="32"/>
          <w:lang w:val="en-US" w:eastAsia="zh-CN"/>
        </w:rPr>
        <w:t xml:space="preserve">20</w:t>
      </w:r>
      <w:r>
        <w:rPr>
          <w:rFonts w:ascii="Times New Roman" w:eastAsia="仿宋_GB2312" w:hAnsi="Times New Roman" w:cs="Times New Roman" w:hint="default"/>
          <w:sz w:val="32"/>
          <w:szCs w:val="32"/>
          <w:lang w:val="en-US" w:eastAsia="zh-CN"/>
        </w:rPr>
        <w:t xml:space="preserve">分，得分率为</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本项目总投资</w:t>
      </w:r>
      <w:r>
        <w:rPr>
          <w:rFonts w:ascii="Times New Roman" w:eastAsia="仿宋_GB2312" w:hAnsi="Times New Roman" w:cs="Times New Roman" w:hint="eastAsia"/>
          <w:sz w:val="32"/>
          <w:szCs w:val="32"/>
          <w:lang w:val="en-US" w:eastAsia="zh-CN"/>
        </w:rPr>
        <w:t xml:space="preserve">2794.76</w:t>
      </w:r>
      <w:r>
        <w:rPr>
          <w:rFonts w:ascii="Times New Roman" w:eastAsia="仿宋_GB2312" w:hAnsi="Times New Roman" w:cs="Times New Roman" w:hint="default"/>
          <w:sz w:val="32"/>
          <w:szCs w:val="32"/>
          <w:lang w:val="en-US" w:eastAsia="zh-CN"/>
        </w:rPr>
        <w:t xml:space="preserve">万元，财政资金及时足额到位，到位率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预算编制较为详细，项目资金支出总体能够按照预算执行，预算资金支出</w:t>
      </w:r>
      <w:r>
        <w:rPr>
          <w:rFonts w:ascii="Times New Roman" w:eastAsia="仿宋_GB2312" w:hAnsi="Times New Roman" w:cs="Times New Roman" w:hint="eastAsia"/>
          <w:sz w:val="32"/>
          <w:szCs w:val="32"/>
          <w:lang w:val="en-US" w:eastAsia="zh-CN"/>
        </w:rPr>
        <w:t xml:space="preserve">2794.76</w:t>
      </w:r>
      <w:r>
        <w:rPr>
          <w:rFonts w:ascii="Times New Roman" w:eastAsia="仿宋_GB2312" w:hAnsi="Times New Roman" w:cs="Times New Roman" w:hint="default"/>
          <w:sz w:val="32"/>
          <w:szCs w:val="32"/>
          <w:lang w:val="en-US" w:eastAsia="zh-CN"/>
        </w:rPr>
        <w:t xml:space="preserve">万元，预算执行率为</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（3）资金使用合规性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（1）管理制度健全性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在制度设计上，我们注重了制度的科学性与可操作性，确保制度能够切实指导项目的执行与管理。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（2）制度执行有效性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综上所述，本项目的管理制度</w:t>
      </w:r>
      <w:bookmarkStart w:id="0" w:name="_GoBack"/>
      <w:bookmarkEnd w:id="0"/>
      <w:r>
        <w:rPr>
          <w:rFonts w:ascii="Times New Roman" w:eastAsia="仿宋_GB2312" w:hAnsi="Times New Roman" w:cs="Times New Roman" w:hint="default"/>
          <w:sz w:val="32"/>
          <w:szCs w:val="32"/>
          <w:lang w:val="en-US" w:eastAsia="zh-CN"/>
        </w:rPr>
        <w:t xml:space="preserve">在执行过程中表现出了高度的有效性，既确保了项目的顺利进行</w:t>
      </w:r>
      <w:r>
        <w:rPr>
          <w:rFonts w:ascii="Times New Roman" w:eastAsia="仿宋_GB2312" w:hAnsi="Times New Roman" w:cs="Times New Roman" w:hint="default"/>
          <w:sz w:val="32"/>
          <w:szCs w:val="32"/>
          <w:lang w:eastAsia="zh-CN"/>
        </w:rPr>
        <w:t xml:space="preserve">，又实现了项目目标的有效达成。</w:t>
      </w:r>
    </w:p>
    <w:p>
      <w:pPr>
        <w:pStyle w:val="BodyTextFirstIndent"/>
        <w:numPr>
          <w:ilvl w:val="0"/>
          <w:numId w:val="7"/>
        </w:numPr>
        <w:spacing w:line="560" w:lineRule="exact"/>
        <w:ind w:firstLine="643"/>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项目产出类指标包括产出数量、产出质量、产出时效、产出成本四方面的内容，由</w:t>
      </w:r>
      <w:r>
        <w:rPr>
          <w:rFonts w:ascii="Times New Roman" w:eastAsia="仿宋_GB2312" w:hAnsi="Times New Roman" w:cs="Times New Roman" w:hint="eastAsia"/>
          <w:sz w:val="32"/>
          <w:szCs w:val="32"/>
          <w:lang w:val="en-US" w:eastAsia="zh-CN"/>
        </w:rPr>
        <w:t xml:space="preserve">7</w:t>
      </w:r>
      <w:r>
        <w:rPr>
          <w:rFonts w:ascii="Times New Roman" w:eastAsia="仿宋_GB2312" w:hAnsi="Times New Roman" w:cs="Times New Roman" w:hint="default"/>
          <w:sz w:val="32"/>
          <w:szCs w:val="32"/>
          <w:lang w:val="en-US" w:eastAsia="zh-CN"/>
        </w:rPr>
        <w:t xml:space="preserve">个三级指标构成，权重分为40分，实际得分</w:t>
      </w:r>
      <w:r>
        <w:rPr>
          <w:rFonts w:ascii="Times New Roman" w:eastAsia="仿宋_GB2312" w:hAnsi="Times New Roman" w:cs="Times New Roman" w:hint="eastAsia"/>
          <w:sz w:val="32"/>
          <w:szCs w:val="32"/>
          <w:lang w:val="en-US" w:eastAsia="zh-CN"/>
        </w:rPr>
        <w:t xml:space="preserve">40</w:t>
      </w:r>
      <w:r>
        <w:rPr>
          <w:rFonts w:ascii="Times New Roman" w:eastAsia="仿宋_GB2312" w:hAnsi="Times New Roman" w:cs="Times New Roman" w:hint="default"/>
          <w:sz w:val="32"/>
          <w:szCs w:val="32"/>
          <w:lang w:val="en-US" w:eastAsia="zh-CN"/>
        </w:rPr>
        <w:t xml:space="preserve">分，得分率为</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数量指标：</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default"/>
          <w:sz w:val="32"/>
          <w:szCs w:val="32"/>
          <w:lang w:val="en-US" w:eastAsia="zh-CN"/>
        </w:rPr>
        <w:t xml:space="preserve">指标1：补贴冬小麦面积，指标值：&gt;=11万亩，实际完成值：10.5339万亩，指标完成率96%</w:t>
      </w:r>
      <w:r>
        <w:rPr>
          <w:rFonts w:ascii="Times New Roman" w:eastAsia="仿宋_GB2312" w:hAnsi="Times New Roman" w:cs="Times New Roman" w:hint="eastAsia"/>
          <w:sz w:val="32"/>
          <w:szCs w:val="32"/>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default"/>
          <w:sz w:val="32"/>
          <w:szCs w:val="32"/>
          <w:lang w:val="en-US" w:eastAsia="zh-CN"/>
        </w:rPr>
        <w:t xml:space="preserve">指标</w:t>
      </w:r>
      <w:r>
        <w:rPr>
          <w:rFonts w:ascii="Times New Roman" w:eastAsia="仿宋_GB2312" w:hAnsi="Times New Roman" w:cs="Times New Roman" w:hint="eastAsia"/>
          <w:sz w:val="32"/>
          <w:szCs w:val="32"/>
          <w:lang w:val="en-US" w:eastAsia="zh-CN"/>
        </w:rPr>
        <w:t xml:space="preserve">2</w:t>
      </w:r>
      <w:r>
        <w:rPr>
          <w:rFonts w:ascii="Times New Roman" w:eastAsia="仿宋_GB2312" w:hAnsi="Times New Roman" w:cs="Times New Roman" w:hint="default"/>
          <w:sz w:val="32"/>
          <w:szCs w:val="32"/>
          <w:lang w:val="en-US" w:eastAsia="zh-CN"/>
        </w:rPr>
        <w:t xml:space="preserve">：项目实施乡镇数量，指标值：&gt;=5个，实际完成值：5个，指标完成率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default"/>
          <w:sz w:val="32"/>
          <w:szCs w:val="32"/>
          <w:lang w:val="en-US" w:eastAsia="zh-CN"/>
        </w:rPr>
        <w:t xml:space="preserve">指标</w:t>
      </w:r>
      <w:r>
        <w:rPr>
          <w:rFonts w:ascii="Times New Roman" w:eastAsia="仿宋_GB2312" w:hAnsi="Times New Roman" w:cs="Times New Roman" w:hint="eastAsia"/>
          <w:sz w:val="32"/>
          <w:szCs w:val="32"/>
          <w:lang w:val="en-US" w:eastAsia="zh-CN"/>
        </w:rPr>
        <w:t xml:space="preserve">3</w:t>
      </w:r>
      <w:r>
        <w:rPr>
          <w:rFonts w:ascii="Times New Roman" w:eastAsia="仿宋_GB2312" w:hAnsi="Times New Roman" w:cs="Times New Roman" w:hint="default"/>
          <w:sz w:val="32"/>
          <w:szCs w:val="32"/>
          <w:lang w:val="en-US" w:eastAsia="zh-CN"/>
        </w:rPr>
        <w:t xml:space="preserve">：耕地轮作面积，指标值：&gt;=1000亩，实际完成值：1000亩，指标完成率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w:t>
      </w:r>
      <w:r>
        <w:rPr>
          <w:rFonts w:ascii="Times New Roman" w:eastAsia="仿宋_GB2312" w:hAnsi="Times New Roman" w:cs="Times New Roman" w:hint="eastAsia"/>
          <w:sz w:val="32"/>
          <w:szCs w:val="32"/>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fldChar w:fldCharType="begin"/>
      </w:r>
      <w:r>
        <w:rPr>
          <w:rFonts w:ascii="Times New Roman" w:eastAsia="仿宋_GB2312" w:hAnsi="Times New Roman" w:cs="Times New Roman" w:hint="default"/>
          <w:sz w:val="32"/>
          <w:szCs w:val="32"/>
          <w:lang w:val="en-US" w:eastAsia="zh-CN"/>
        </w:rPr>
        <w:instrText xml:space="preserve"> = 2 \* GB3 </w:instrText>
      </w:r>
      <w:r>
        <w:rPr>
          <w:rFonts w:ascii="Times New Roman" w:eastAsia="仿宋_GB2312" w:hAnsi="Times New Roman" w:cs="Times New Roman" w:hint="default"/>
          <w:sz w:val="32"/>
          <w:szCs w:val="32"/>
          <w:lang w:val="en-US" w:eastAsia="zh-CN"/>
        </w:rPr>
        <w:fldChar w:fldCharType="separate"/>
      </w:r>
      <w:r>
        <w:rPr>
          <w:rFonts w:ascii="Times New Roman" w:eastAsia="仿宋_GB2312" w:hAnsi="Times New Roman" w:cs="Times New Roman" w:hint="default"/>
          <w:sz w:val="32"/>
          <w:szCs w:val="32"/>
          <w:lang w:val="en-US" w:eastAsia="zh-CN"/>
        </w:rPr>
        <w:t xml:space="preserve">②</w:t>
      </w:r>
      <w:r>
        <w:rPr>
          <w:rFonts w:ascii="Times New Roman" w:eastAsia="仿宋_GB2312" w:hAnsi="Times New Roman" w:cs="Times New Roman" w:hint="default"/>
          <w:sz w:val="32"/>
          <w:szCs w:val="32"/>
          <w:lang w:val="en-US" w:eastAsia="zh-CN"/>
        </w:rPr>
        <w:fldChar w:fldCharType="end"/>
      </w:r>
      <w:r>
        <w:rPr>
          <w:rFonts w:ascii="Times New Roman" w:eastAsia="仿宋_GB2312" w:hAnsi="Times New Roman" w:cs="Times New Roman" w:hint="default"/>
          <w:sz w:val="32"/>
          <w:szCs w:val="32"/>
          <w:lang w:val="en-US" w:eastAsia="zh-CN"/>
        </w:rPr>
        <w:t xml:space="preserve">质量指标：</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default"/>
          <w:sz w:val="32"/>
          <w:szCs w:val="32"/>
          <w:lang w:val="en-US" w:eastAsia="zh-CN"/>
        </w:rPr>
        <w:t xml:space="preserve">指标：补贴资金兑付率，指标值：</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，实际完成值：</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，指标完成率</w:t>
      </w:r>
      <w:r>
        <w:rPr>
          <w:rFonts w:ascii="Times New Roman" w:eastAsia="仿宋_GB2312" w:hAnsi="Times New Roman" w:cs="Times New Roman" w:hint="eastAsia"/>
          <w:sz w:val="32"/>
          <w:szCs w:val="32"/>
          <w:lang w:val="en-US" w:eastAsia="zh-CN"/>
        </w:rPr>
        <w:t xml:space="preserve">100%。</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fldChar w:fldCharType="begin"/>
      </w:r>
      <w:r>
        <w:rPr>
          <w:rFonts w:ascii="Times New Roman" w:eastAsia="仿宋_GB2312" w:hAnsi="Times New Roman" w:cs="Times New Roman" w:hint="default"/>
          <w:sz w:val="32"/>
          <w:szCs w:val="32"/>
          <w:lang w:val="en-US" w:eastAsia="zh-CN"/>
        </w:rPr>
        <w:instrText xml:space="preserve"> = 3 \* GB3 </w:instrText>
      </w:r>
      <w:r>
        <w:rPr>
          <w:rFonts w:ascii="Times New Roman" w:eastAsia="仿宋_GB2312" w:hAnsi="Times New Roman" w:cs="Times New Roman" w:hint="default"/>
          <w:sz w:val="32"/>
          <w:szCs w:val="32"/>
          <w:lang w:val="en-US" w:eastAsia="zh-CN"/>
        </w:rPr>
        <w:fldChar w:fldCharType="separate"/>
      </w:r>
      <w:r>
        <w:rPr>
          <w:rFonts w:ascii="Times New Roman" w:eastAsia="仿宋_GB2312" w:hAnsi="Times New Roman" w:cs="Times New Roman" w:hint="default"/>
          <w:sz w:val="32"/>
          <w:szCs w:val="32"/>
          <w:lang w:val="en-US" w:eastAsia="zh-CN"/>
        </w:rPr>
        <w:t xml:space="preserve">③</w:t>
      </w:r>
      <w:r>
        <w:rPr>
          <w:rFonts w:ascii="Times New Roman" w:eastAsia="仿宋_GB2312" w:hAnsi="Times New Roman" w:cs="Times New Roman" w:hint="default"/>
          <w:sz w:val="32"/>
          <w:szCs w:val="32"/>
          <w:lang w:val="en-US" w:eastAsia="zh-CN"/>
        </w:rPr>
        <w:fldChar w:fldCharType="end"/>
      </w:r>
      <w:r>
        <w:rPr>
          <w:rFonts w:ascii="Times New Roman" w:eastAsia="仿宋_GB2312" w:hAnsi="Times New Roman" w:cs="Times New Roman" w:hint="default"/>
          <w:sz w:val="32"/>
          <w:szCs w:val="32"/>
          <w:lang w:val="en-US" w:eastAsia="zh-CN"/>
        </w:rPr>
        <w:t xml:space="preserve">时效指标：</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default"/>
          <w:sz w:val="32"/>
          <w:szCs w:val="32"/>
          <w:lang w:val="en-US" w:eastAsia="zh-CN"/>
        </w:rPr>
        <w:t xml:space="preserve">指标：补贴发放及时率，指标值：</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，实际完成值：</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val="en-US" w:eastAsia="zh-CN"/>
        </w:rPr>
        <w:t xml:space="preserve">，指标完成率</w:t>
      </w:r>
      <w:r>
        <w:rPr>
          <w:rFonts w:ascii="Times New Roman" w:eastAsia="仿宋_GB2312" w:hAnsi="Times New Roman" w:cs="Times New Roman" w:hint="eastAsia"/>
          <w:sz w:val="32"/>
          <w:szCs w:val="32"/>
          <w:lang w:val="en-US" w:eastAsia="zh-CN"/>
        </w:rPr>
        <w:t xml:space="preserve">100%。</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fldChar w:fldCharType="begin"/>
      </w:r>
      <w:r>
        <w:rPr>
          <w:rFonts w:ascii="Times New Roman" w:eastAsia="仿宋_GB2312" w:hAnsi="Times New Roman" w:cs="Times New Roman" w:hint="default"/>
          <w:sz w:val="32"/>
          <w:szCs w:val="32"/>
          <w:lang w:val="en-US" w:eastAsia="zh-CN"/>
        </w:rPr>
        <w:instrText xml:space="preserve"> = 4 \* GB3 </w:instrText>
      </w:r>
      <w:r>
        <w:rPr>
          <w:rFonts w:ascii="Times New Roman" w:eastAsia="仿宋_GB2312" w:hAnsi="Times New Roman" w:cs="Times New Roman" w:hint="default"/>
          <w:sz w:val="32"/>
          <w:szCs w:val="32"/>
          <w:lang w:val="en-US" w:eastAsia="zh-CN"/>
        </w:rPr>
        <w:fldChar w:fldCharType="separate"/>
      </w:r>
      <w:r>
        <w:rPr>
          <w:rFonts w:ascii="Times New Roman" w:eastAsia="仿宋_GB2312" w:hAnsi="Times New Roman" w:cs="Times New Roman" w:hint="default"/>
          <w:sz w:val="32"/>
          <w:szCs w:val="32"/>
          <w:lang w:val="en-US" w:eastAsia="zh-CN"/>
        </w:rPr>
        <w:t xml:space="preserve">④</w:t>
      </w:r>
      <w:r>
        <w:rPr>
          <w:rFonts w:ascii="Times New Roman" w:eastAsia="仿宋_GB2312" w:hAnsi="Times New Roman" w:cs="Times New Roman" w:hint="default"/>
          <w:sz w:val="32"/>
          <w:szCs w:val="32"/>
          <w:lang w:val="en-US" w:eastAsia="zh-CN"/>
        </w:rPr>
        <w:fldChar w:fldCharType="end"/>
      </w:r>
      <w:r>
        <w:rPr>
          <w:rFonts w:ascii="Times New Roman" w:eastAsia="仿宋_GB2312" w:hAnsi="Times New Roman" w:cs="Times New Roman" w:hint="default"/>
          <w:sz w:val="32"/>
          <w:szCs w:val="32"/>
          <w:lang w:val="en-US" w:eastAsia="zh-CN"/>
        </w:rPr>
        <w:t xml:space="preserve">成本指标：</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lang w:val="en-US" w:eastAsia="zh-CN"/>
        </w:rPr>
        <w:t xml:space="preserve">指标1：小麦补贴标准，指标值：=215.8</w:t>
      </w:r>
      <w:r>
        <w:rPr>
          <w:rFonts w:ascii="Times New Roman" w:eastAsia="仿宋_GB2312" w:hAnsi="Times New Roman" w:cs="Times New Roman" w:hint="default"/>
          <w:sz w:val="32"/>
          <w:szCs w:val="32"/>
          <w:highlight w:val="none"/>
        </w:rPr>
        <w:t xml:space="preserve">7元/亩，实际完成值：215.87元/亩，指标完成率</w:t>
      </w:r>
      <w:r>
        <w:rPr>
          <w:rFonts w:eastAsia="仿宋_GB2312" w:cs="Times New Roman" w:hint="eastAsia"/>
          <w:sz w:val="32"/>
          <w:szCs w:val="32"/>
          <w:highlight w:val="none"/>
          <w:lang w:val="en-US" w:eastAsia="zh-CN"/>
        </w:rPr>
        <w:t xml:space="preserve">100%</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：耕地轮作成本，指标值：&lt;=15万元，实际完成值：15万元，指标完成率</w:t>
      </w:r>
      <w:r>
        <w:rPr>
          <w:rFonts w:eastAsia="仿宋_GB2312" w:cs="Times New Roman" w:hint="eastAsia"/>
          <w:sz w:val="32"/>
          <w:szCs w:val="32"/>
          <w:highlight w:val="none"/>
          <w:lang w:val="en-US" w:eastAsia="zh-CN"/>
        </w:rPr>
        <w:t xml:space="preserve">100%</w:t>
      </w:r>
      <w:r>
        <w:rPr>
          <w:rFonts w:eastAsia="仿宋_GB2312" w:cs="Times New Roman" w:hint="eastAsia"/>
          <w:sz w:val="32"/>
          <w:szCs w:val="32"/>
          <w:highlight w:val="none"/>
          <w:lang w:eastAsia="zh-CN"/>
        </w:rPr>
        <w:t xml:space="preserve">。</w:t>
      </w:r>
    </w:p>
    <w:p>
      <w:pPr>
        <w:pStyle w:val="BodyTextFirstIndent"/>
        <w:numPr>
          <w:ilvl w:val="0"/>
          <w:numId w:val="7"/>
        </w:numPr>
        <w:spacing w:line="560" w:lineRule="exact"/>
        <w:ind w:firstLine="643"/>
        <w:rPr>
          <w:rFonts w:ascii="Times New Roman" w:eastAsia="楷体_GB2312" w:hAnsi="Times New Roman" w:cs="Times New Roman" w:hint="default"/>
          <w:b/>
          <w:bCs/>
          <w:sz w:val="32"/>
          <w:szCs w:val="32"/>
          <w:lang w:val="en-US" w:eastAsia="zh-CN"/>
        </w:rPr>
      </w:pPr>
      <w:r>
        <w:rPr>
          <w:rFonts w:ascii="Times New Roman" w:eastAsia="楷体_GB2312" w:hAnsi="Times New Roman" w:cs="Times New Roman" w:hint="default"/>
          <w:b/>
          <w:bCs/>
          <w:sz w:val="32"/>
          <w:szCs w:val="32"/>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项目效益类指标包括项目实施效益和满意度两方面的内容，由</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个三级指标构成，权重分为20分，实际得分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shd w:val="clear" w:color="auto" w:fill="auto"/>
        <w:spacing w:line="600" w:lineRule="exact"/>
        <w:ind w:firstLine="640" w:firstLineChars="200"/>
        <w:outlineLvl w:val="0"/>
        <w:rPr>
          <w:rFonts w:ascii="Times New Roman" w:eastAsia="仿宋_GB2312" w:hAnsi="Times New Roman" w:cs="Times New Roman" w:hint="default"/>
          <w:color w:val="FF0000"/>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1.实施效益</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default"/>
          <w:sz w:val="32"/>
          <w:szCs w:val="32"/>
          <w:highlight w:val="none"/>
        </w:rPr>
        <w:t xml:space="preserve">经济效益指标：</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指标：增加种植小麦农民全年总收入，指标值：&gt;=2779.76万元，实际完成值：2779.76万元，指标完成率</w:t>
      </w:r>
      <w:r>
        <w:rPr>
          <w:rFonts w:eastAsia="仿宋_GB2312" w:cs="Times New Roman" w:hint="eastAsia"/>
          <w:sz w:val="32"/>
          <w:szCs w:val="32"/>
          <w:highlight w:val="none"/>
          <w:lang w:val="en-US" w:eastAsia="zh-CN"/>
        </w:rPr>
        <w:t xml:space="preserve">100%</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②</w:t>
      </w:r>
      <w:r>
        <w:rPr>
          <w:rFonts w:ascii="Times New Roman" w:eastAsia="仿宋_GB2312" w:hAnsi="Times New Roman" w:cs="Times New Roman" w:hint="default"/>
          <w:sz w:val="32"/>
          <w:szCs w:val="32"/>
          <w:highlight w:val="none"/>
        </w:rPr>
        <w:t xml:space="preserve">社会效益指标：</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指标：提高种粮农民积极性，指标值：</w:t>
      </w:r>
      <w:r>
        <w:rPr>
          <w:rFonts w:eastAsia="仿宋_GB2312" w:cs="Times New Roman" w:hint="eastAsia"/>
          <w:sz w:val="32"/>
          <w:szCs w:val="32"/>
          <w:highlight w:val="none"/>
          <w:lang w:eastAsia="zh-CN"/>
        </w:rPr>
        <w:t xml:space="preserve">逐步提高</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eastAsia="zh-CN"/>
        </w:rPr>
        <w:t xml:space="preserve">逐步提高</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2.满意度</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指标：直接补贴政策农民满意度，指标值：</w:t>
      </w:r>
      <w:r>
        <w:rPr>
          <w:rFonts w:eastAsia="仿宋_GB2312" w:cs="Times New Roman" w:hint="eastAsia"/>
          <w:sz w:val="32"/>
          <w:szCs w:val="32"/>
          <w:highlight w:val="none"/>
          <w:lang w:eastAsia="zh-CN"/>
        </w:rPr>
        <w:t xml:space="preserve">&gt;=90%</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90%</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eastAsia="仿宋_GB2312" w:cs="Times New Roman" w:hint="eastAsia"/>
          <w:sz w:val="32"/>
          <w:szCs w:val="32"/>
          <w:highlight w:val="none"/>
          <w:lang w:eastAsia="zh-CN"/>
        </w:rPr>
        <w:t xml:space="preserve">。</w:t>
      </w:r>
    </w:p>
    <w:p>
      <w:pPr>
        <w:spacing w:line="560" w:lineRule="exact"/>
        <w:ind w:firstLine="640" w:firstLineChars="200"/>
        <w:rPr>
          <w:rFonts w:ascii="Times New Roman" w:eastAsia="楷体_GB2312" w:hAnsi="Times New Roman" w:cs="Times New Roman" w:hint="default"/>
          <w:b/>
          <w:bCs/>
          <w:sz w:val="32"/>
          <w:szCs w:val="32"/>
          <w:lang w:val="en-US"/>
        </w:rPr>
      </w:pPr>
      <w:r>
        <w:rPr>
          <w:rFonts w:ascii="Times New Roman" w:eastAsia="楷体_GB2312" w:hAnsi="Times New Roman" w:cs="Times New Roman" w:hint="default"/>
          <w:b/>
          <w:bCs/>
          <w:sz w:val="32"/>
          <w:szCs w:val="32"/>
          <w:lang w:val="en-US" w:eastAsia="zh-CN"/>
        </w:rPr>
        <w:t xml:space="preserve">（五）</w:t>
      </w:r>
      <w:r>
        <w:rPr>
          <w:rFonts w:ascii="Times New Roman" w:eastAsia="楷体_GB2312" w:hAnsi="Times New Roman" w:cs="Times New Roman" w:hint="default"/>
          <w:b/>
          <w:bCs/>
          <w:sz w:val="32"/>
          <w:szCs w:val="32"/>
          <w:lang w:val="en-US"/>
        </w:rPr>
        <w:t xml:space="preserve">预算执行进度与绩效指标总体完成率偏差</w:t>
      </w:r>
    </w:p>
    <w:p>
      <w:pPr>
        <w:pStyle w:val="闻政-正文段落文字"/>
        <w:spacing w:line="560" w:lineRule="exact"/>
        <w:ind w:firstLine="640"/>
        <w:rPr>
          <w:rFonts w:ascii="Times New Roman" w:eastAsia="仿宋_GB2312" w:hAnsi="Times New Roman" w:cs="Times New Roman" w:hint="eastAsia"/>
          <w:kern w:val="2"/>
          <w:sz w:val="32"/>
          <w:szCs w:val="32"/>
          <w:highlight w:val="none"/>
          <w:lang w:val="en-US" w:eastAsia="zh-CN" w:bidi="ar-SA"/>
        </w:rPr>
      </w:pPr>
      <w:r>
        <w:rPr>
          <w:rFonts w:ascii="Times New Roman" w:eastAsia="仿宋_GB2312" w:hAnsi="Times New Roman" w:cs="Times New Roman" w:hint="default"/>
          <w:kern w:val="2"/>
          <w:sz w:val="32"/>
          <w:szCs w:val="32"/>
          <w:highlight w:val="none"/>
          <w:lang w:val="en-US" w:eastAsia="zh-CN" w:bidi="ar-SA"/>
        </w:rPr>
        <w:t xml:space="preserve">2024年中央耕地建设与利用资金(耕地地力保护补贴)项目年初预算</w:t>
      </w:r>
      <w:r>
        <w:rPr>
          <w:rFonts w:ascii="Times New Roman" w:eastAsia="仿宋_GB2312" w:hAnsi="Times New Roman" w:cs="Times New Roman" w:hint="eastAsia"/>
          <w:kern w:val="2"/>
          <w:sz w:val="32"/>
          <w:szCs w:val="32"/>
          <w:highlight w:val="none"/>
          <w:lang w:val="en-US" w:eastAsia="zh-CN" w:bidi="ar-SA"/>
        </w:rPr>
        <w:t xml:space="preserve">2779.76</w:t>
      </w:r>
      <w:r>
        <w:rPr>
          <w:rFonts w:ascii="Times New Roman" w:eastAsia="仿宋_GB2312" w:hAnsi="Times New Roman" w:cs="Times New Roman" w:hint="default"/>
          <w:kern w:val="2"/>
          <w:sz w:val="32"/>
          <w:szCs w:val="32"/>
          <w:highlight w:val="none"/>
          <w:lang w:val="en-US" w:eastAsia="zh-CN" w:bidi="ar-SA"/>
        </w:rPr>
        <w:t xml:space="preserve">万元，全年预算</w:t>
      </w:r>
      <w:r>
        <w:rPr>
          <w:rFonts w:ascii="Times New Roman" w:eastAsia="仿宋_GB2312" w:hAnsi="Times New Roman" w:cs="Times New Roman" w:hint="eastAsia"/>
          <w:kern w:val="2"/>
          <w:sz w:val="32"/>
          <w:szCs w:val="32"/>
          <w:highlight w:val="none"/>
          <w:lang w:val="en-US" w:eastAsia="zh-CN" w:bidi="ar-SA"/>
        </w:rPr>
        <w:t xml:space="preserve">2794.76</w:t>
      </w:r>
      <w:r>
        <w:rPr>
          <w:rFonts w:ascii="Times New Roman" w:eastAsia="仿宋_GB2312" w:hAnsi="Times New Roman" w:cs="Times New Roman" w:hint="default"/>
          <w:kern w:val="2"/>
          <w:sz w:val="32"/>
          <w:szCs w:val="32"/>
          <w:highlight w:val="none"/>
          <w:lang w:val="en-US" w:eastAsia="zh-CN" w:bidi="ar-SA"/>
        </w:rPr>
        <w:t xml:space="preserve">万元，实际支出</w:t>
      </w:r>
      <w:r>
        <w:rPr>
          <w:rFonts w:ascii="Times New Roman" w:eastAsia="仿宋_GB2312" w:hAnsi="Times New Roman" w:cs="Times New Roman" w:hint="eastAsia"/>
          <w:kern w:val="2"/>
          <w:sz w:val="32"/>
          <w:szCs w:val="32"/>
          <w:highlight w:val="none"/>
          <w:lang w:val="en-US" w:eastAsia="zh-CN" w:bidi="ar-SA"/>
        </w:rPr>
        <w:t xml:space="preserve">2794.76</w:t>
      </w:r>
      <w:r>
        <w:rPr>
          <w:rFonts w:ascii="Times New Roman" w:eastAsia="仿宋_GB2312" w:hAnsi="Times New Roman" w:cs="Times New Roman" w:hint="default"/>
          <w:kern w:val="2"/>
          <w:sz w:val="32"/>
          <w:szCs w:val="32"/>
          <w:highlight w:val="none"/>
          <w:lang w:val="en-US" w:eastAsia="zh-CN" w:bidi="ar-SA"/>
        </w:rPr>
        <w:t xml:space="preserve">万元，预算执行率为</w:t>
      </w:r>
      <w:r>
        <w:rPr>
          <w:rFonts w:ascii="Times New Roman" w:eastAsia="仿宋_GB2312" w:hAnsi="Times New Roman" w:cs="Times New Roman" w:hint="eastAsia"/>
          <w:kern w:val="2"/>
          <w:sz w:val="32"/>
          <w:szCs w:val="32"/>
          <w:highlight w:val="none"/>
          <w:lang w:val="en-US" w:eastAsia="zh-CN" w:bidi="ar-SA"/>
        </w:rPr>
        <w:t xml:space="preserve">100</w:t>
      </w:r>
      <w:r>
        <w:rPr>
          <w:rFonts w:ascii="Times New Roman" w:eastAsia="仿宋_GB2312" w:hAnsi="Times New Roman" w:cs="Times New Roman" w:hint="default"/>
          <w:kern w:val="2"/>
          <w:sz w:val="32"/>
          <w:szCs w:val="32"/>
          <w:highlight w:val="none"/>
          <w:lang w:val="en-US" w:eastAsia="zh-CN" w:bidi="ar-SA"/>
        </w:rPr>
        <w:t xml:space="preserve">%，项目绩效指标总体完成率为</w:t>
      </w:r>
      <w:r>
        <w:rPr>
          <w:rFonts w:ascii="Times New Roman" w:eastAsia="仿宋_GB2312" w:hAnsi="Times New Roman" w:cs="Times New Roman" w:hint="eastAsia"/>
          <w:kern w:val="2"/>
          <w:sz w:val="32"/>
          <w:szCs w:val="32"/>
          <w:highlight w:val="none"/>
          <w:lang w:val="en-US" w:eastAsia="zh-CN" w:bidi="ar-SA"/>
        </w:rPr>
        <w:t xml:space="preserve">100</w:t>
      </w:r>
      <w:r>
        <w:rPr>
          <w:rFonts w:ascii="Times New Roman" w:eastAsia="仿宋_GB2312" w:hAnsi="Times New Roman" w:cs="Times New Roman" w:hint="default"/>
          <w:kern w:val="2"/>
          <w:sz w:val="32"/>
          <w:szCs w:val="32"/>
          <w:highlight w:val="none"/>
          <w:lang w:val="en-US" w:eastAsia="zh-CN" w:bidi="ar-SA"/>
        </w:rPr>
        <w:t xml:space="preserve">%，</w:t>
      </w:r>
      <w:r>
        <w:rPr>
          <w:rFonts w:ascii="Times New Roman" w:eastAsia="仿宋_GB2312" w:hAnsi="Times New Roman" w:cs="Times New Roman" w:hint="default"/>
          <w:kern w:val="2"/>
          <w:sz w:val="32"/>
          <w:szCs w:val="32"/>
          <w:highlight w:val="none"/>
          <w:lang w:val="en-US" w:bidi="ar-SA"/>
        </w:rPr>
        <w:t xml:space="preserve">总体</w:t>
      </w:r>
      <w:r>
        <w:rPr>
          <w:rFonts w:ascii="Times New Roman" w:eastAsia="仿宋_GB2312" w:hAnsi="Times New Roman" w:cs="Times New Roman" w:hint="default"/>
          <w:kern w:val="2"/>
          <w:sz w:val="32"/>
          <w:szCs w:val="32"/>
          <w:highlight w:val="none"/>
          <w:lang w:val="en-US" w:eastAsia="zh-CN" w:bidi="ar-SA"/>
        </w:rPr>
        <w:t xml:space="preserve">偏差率为</w:t>
      </w:r>
      <w:r>
        <w:rPr>
          <w:rFonts w:ascii="Times New Roman" w:eastAsia="仿宋_GB2312" w:hAnsi="Times New Roman" w:cs="Times New Roman" w:hint="eastAsia"/>
          <w:kern w:val="2"/>
          <w:sz w:val="32"/>
          <w:szCs w:val="32"/>
          <w:highlight w:val="none"/>
          <w:lang w:val="en-US" w:eastAsia="zh-CN" w:bidi="ar-SA"/>
        </w:rPr>
        <w:t xml:space="preserve">0</w:t>
      </w:r>
      <w:r>
        <w:rPr>
          <w:rFonts w:ascii="Times New Roman" w:eastAsia="仿宋_GB2312" w:hAnsi="Times New Roman" w:cs="Times New Roman" w:hint="default"/>
          <w:kern w:val="2"/>
          <w:sz w:val="32"/>
          <w:szCs w:val="32"/>
          <w:highlight w:val="none"/>
          <w:lang w:val="en-US" w:eastAsia="zh-CN" w:bidi="ar-SA"/>
        </w:rPr>
        <w:t xml:space="preserve">%</w:t>
      </w:r>
      <w:r>
        <w:rPr>
          <w:rFonts w:ascii="Times New Roman" w:eastAsia="仿宋_GB2312" w:hAnsi="Times New Roman" w:cs="Times New Roman" w:hint="eastAsia"/>
          <w:kern w:val="2"/>
          <w:sz w:val="32"/>
          <w:szCs w:val="32"/>
          <w:highlight w:val="none"/>
          <w:lang w:val="en-US" w:eastAsia="zh-CN" w:bidi="ar-SA"/>
        </w:rPr>
        <w:t xml:space="preserve">。</w:t>
      </w:r>
    </w:p>
    <w:p>
      <w:pPr>
        <w:spacing w:line="560" w:lineRule="exact"/>
        <w:ind w:firstLine="640" w:firstLineChars="200"/>
        <w:rPr>
          <w:rStyle w:val="fontstyle01"/>
          <w:rFonts w:ascii="Times New Roman" w:hAnsi="Times New Roman" w:cs="Times New Roman" w:hint="default"/>
          <w:color w:val="auto"/>
        </w:rPr>
      </w:pPr>
      <w:r>
        <w:rPr>
          <w:rFonts w:eastAsia="黑体" w:cs="Times New Roman" w:hint="eastAsia"/>
          <w:sz w:val="32"/>
          <w:szCs w:val="32"/>
          <w:lang w:val="en-US" w:eastAsia="zh-CN"/>
        </w:rPr>
        <w:t xml:space="preserve">五、</w:t>
      </w:r>
      <w:r>
        <w:rPr>
          <w:rFonts w:ascii="Times New Roman" w:eastAsia="黑体" w:hAnsi="Times New Roman" w:cs="Times New Roman" w:hint="default"/>
          <w:sz w:val="32"/>
          <w:szCs w:val="32"/>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（一）主要经验及做法</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rPr>
      </w:pPr>
      <w:r>
        <w:rPr>
          <w:rFonts w:ascii="Times New Roman" w:eastAsia="仿宋_GB2312" w:hAnsi="Times New Roman" w:cs="Times New Roman" w:hint="default"/>
          <w:b w:val="0"/>
          <w:bCs w:val="0"/>
          <w:kern w:val="2"/>
        </w:rPr>
        <w:t xml:space="preserve">严格坚持先做事、后验收、再拨付的原则，</w:t>
      </w:r>
      <w:r>
        <w:rPr>
          <w:rFonts w:ascii="Times New Roman" w:eastAsia="仿宋_GB2312" w:hAnsi="Times New Roman" w:cs="Times New Roman" w:hint="eastAsia"/>
          <w:b w:val="0"/>
          <w:bCs w:val="0"/>
          <w:kern w:val="2"/>
          <w:lang w:eastAsia="zh-CN"/>
        </w:rPr>
        <w:t xml:space="preserve">杜绝</w:t>
      </w:r>
      <w:r>
        <w:rPr>
          <w:rFonts w:ascii="Times New Roman" w:eastAsia="仿宋_GB2312" w:hAnsi="Times New Roman" w:cs="Times New Roman" w:hint="default"/>
          <w:b w:val="0"/>
          <w:bCs w:val="0"/>
          <w:kern w:val="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4"/>
        </w:num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存在的问题及原因分析</w:t>
      </w:r>
    </w:p>
    <w:p>
      <w:pPr>
        <w:spacing w:line="560" w:lineRule="exact"/>
        <w:ind w:firstLine="640" w:firstLineChars="20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1.相关绩效管理方面专业知识的系统性学习有待加强。各项指标的设置要进一步优化、完善，主要在细化、量化上改进。在绩效自评过程中，由</w:t>
      </w:r>
      <w:r>
        <w:rPr>
          <w:rFonts w:ascii="Times New Roman" w:eastAsia="仿宋_GB2312" w:hAnsi="Times New Roman" w:cs="Times New Roman" w:hint="default"/>
          <w:sz w:val="32"/>
          <w:szCs w:val="32"/>
          <w:lang w:val="en-US" w:eastAsia="zh-CN"/>
        </w:rPr>
        <w:t xml:space="preserve">干部</w:t>
      </w:r>
      <w:r>
        <w:rPr>
          <w:rFonts w:ascii="Times New Roman" w:eastAsia="仿宋_GB2312" w:hAnsi="Times New Roman" w:cs="Times New Roman" w:hint="default"/>
          <w:sz w:val="32"/>
          <w:szCs w:val="32"/>
          <w:lang w:val="en-US" w:eastAsia="zh-CN"/>
        </w:rPr>
        <w:t xml:space="preserve">分人员缺乏相关绩效管理专业知识，自评价工作还存在自我审定的局限性，影响评价质量。</w:t>
      </w:r>
    </w:p>
    <w:p>
      <w:pPr>
        <w:spacing w:line="560" w:lineRule="exact"/>
        <w:ind w:firstLine="640" w:firstLineChars="20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2.二是绩效水平不高，单位绩效管理工作力量薄弱，多数以财务人员牵头开展绩效管理，业务人员业务能力和素质还有待进一步提升。</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六、</w:t>
      </w:r>
      <w:r>
        <w:rPr>
          <w:rFonts w:ascii="Times New Roman" w:eastAsia="黑体" w:hAnsi="Times New Roman" w:cs="Times New Roman" w:hint="default"/>
          <w:sz w:val="32"/>
          <w:szCs w:val="32"/>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ascii="Times New Roman" w:hAnsi="Times New Roman" w:cs="Times New Roman" w:hint="default"/>
          <w:sz w:val="22"/>
          <w:szCs w:val="28"/>
        </w:rPr>
      </w:pPr>
      <w:r>
        <w:rPr>
          <w:rFonts w:ascii="Times New Roman" w:eastAsia="仿宋_GB2312" w:hAnsi="Times New Roman" w:cs="Times New Roman" w:hint="default"/>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sz w:val="36"/>
          <w:szCs w:val="32"/>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七、</w:t>
      </w:r>
      <w:r>
        <w:rPr>
          <w:rFonts w:ascii="Times New Roman" w:eastAsia="黑体" w:hAnsi="Times New Roman" w:cs="Times New Roman" w:hint="default"/>
          <w:sz w:val="32"/>
          <w:szCs w:val="32"/>
        </w:rPr>
        <w:t xml:space="preserve">其他需要说</w:t>
      </w:r>
      <w:bookmarkStart w:id="1" w:name="page8"/>
      <w:bookmarkEnd w:id="1"/>
      <w:r>
        <w:rPr>
          <w:rFonts w:ascii="Times New Roman" w:eastAsia="黑体" w:hAnsi="Times New Roman" w:cs="Times New Roman" w:hint="default"/>
          <w:sz w:val="32"/>
          <w:szCs w:val="32"/>
        </w:rPr>
        <w:t xml:space="preserve">明的问题</w:t>
      </w:r>
    </w:p>
    <w:p>
      <w:pPr>
        <w:pStyle w:val="BodyTextFirstIndent2"/>
        <w:spacing w:after="0" w:line="560" w:lineRule="exact"/>
        <w:ind w:left="0" w:firstLine="640" w:leftChars="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本项目无其他需说明的问题。</w:t>
      </w:r>
    </w:p>
    <w:p>
      <w:pPr>
        <w:pStyle w:val="BodyTextFirstIndent2"/>
        <w:spacing w:after="0" w:line="560" w:lineRule="exact"/>
        <w:ind w:left="0" w:firstLine="0" w:leftChars="0" w:firstLineChars="0"/>
        <w:rPr>
          <w:rFonts w:ascii="Times New Roman" w:eastAsia="仿宋_GB2312" w:hAnsi="Times New Roman" w:cs="Times New Roman" w:hint="default"/>
          <w:sz w:val="32"/>
          <w:szCs w:val="32"/>
        </w:rPr>
      </w:pPr>
    </w:p>
    <w:p>
      <w:pPr>
        <w:spacing w:line="600" w:lineRule="exact"/>
        <w:rPr>
          <w:rFonts w:ascii="Times New Roman" w:eastAsia="黑体" w:hAnsi="Times New Roman" w:cs="Times New Roman" w:hint="eastAsia"/>
          <w:sz w:val="32"/>
          <w:szCs w:val="32"/>
          <w:lang w:val="en-US" w:eastAsia="zh-CN"/>
        </w:rPr>
        <w:sectPr>
          <w:footerReference w:type="default" r:id="rId3"/>
          <w:pgSz w:w="11906" w:h="16838" w:orient="portrait"/>
          <w:pgMar w:top="1440" w:right="1558" w:bottom="1440" w:left="1800" w:header="851" w:footer="992" w:gutter="0"/>
          <w:pgBorders/>
          <w:pgNumType w:start="1"/>
          <w:cols w:num="1" w:space="425">
            <w:col w:w="8548" w:space="425"/>
          </w:cols>
          <w:docGrid w:type="lines" w:linePitch="312" w:charSpace="0"/>
        </w:sectPr>
      </w:pPr>
    </w:p>
    <w:p>
      <w:pPr>
        <w:spacing w:line="600" w:lineRule="exact"/>
        <w:rPr>
          <w:rFonts w:eastAsia="黑体" w:cs="Times New Roman" w:hint="eastAsia"/>
          <w:sz w:val="32"/>
          <w:szCs w:val="32"/>
          <w:lang w:val="en-US" w:eastAsia="zh-CN"/>
        </w:rPr>
      </w:pPr>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p>
    <w:p>
      <w:pPr>
        <w:pStyle w:val="闻政-正文段落文字"/>
        <w:ind w:firstLine="562"/>
        <w:jc w:val="center"/>
        <w:rPr>
          <w:rFonts w:ascii="仿宋_GB2312" w:eastAsia="仿宋_GB2312" w:hAnsi="仿宋_GB2312" w:cs="仿宋_GB2312" w:hint="eastAsia"/>
          <w:color w:val="auto"/>
          <w:sz w:val="28"/>
          <w:szCs w:val="40"/>
          <w:highlight w:val="none"/>
        </w:rPr>
      </w:pPr>
      <w:bookmarkStart w:id="2" w:name="_Toc30064_WPSOffice_Level1"/>
      <w:bookmarkStart w:id="3" w:name="_Toc26499_WPSOffice_Level2"/>
      <w:r>
        <w:rPr>
          <w:rFonts w:ascii="仿宋_GB2312" w:eastAsia="仿宋_GB2312" w:hAnsi="仿宋_GB2312" w:cs="仿宋_GB2312" w:hint="eastAsia"/>
          <w:b/>
          <w:bCs/>
          <w:color w:val="auto"/>
          <w:sz w:val="28"/>
          <w:szCs w:val="40"/>
          <w:highlight w:val="none"/>
          <w:lang w:val="en-US" w:eastAsia="zh-CN"/>
        </w:rPr>
        <w:t xml:space="preserve">2024年中央耕地建设与利用资金(耕地地力保护补贴)</w:t>
      </w:r>
      <w:r>
        <w:rPr>
          <w:rFonts w:ascii="仿宋_GB2312" w:eastAsia="仿宋_GB2312" w:hAnsi="仿宋_GB2312" w:cs="仿宋_GB2312" w:hint="eastAsia"/>
          <w:b/>
          <w:bCs/>
          <w:color w:val="auto"/>
          <w:sz w:val="28"/>
          <w:szCs w:val="40"/>
          <w:highlight w:val="none"/>
        </w:rPr>
        <w:t xml:space="preserve">项目绩效评价指标体系及综合评分表</w:t>
      </w:r>
      <w:bookmarkEnd w:id="2"/>
      <w:bookmarkEnd w:id="3"/>
    </w:p>
    <w:tbl>
      <w:tblPr>
        <w:tblStyle w:val="NormalTable"/>
        <w:tblW w:w="12683" w:type="dxa"/>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1002"/>
        <w:gridCol w:w="1000"/>
        <w:gridCol w:w="1071"/>
        <w:gridCol w:w="1725"/>
        <w:gridCol w:w="5216"/>
        <w:gridCol w:w="5"/>
        <w:gridCol w:w="1299"/>
        <w:gridCol w:w="1365"/>
      </w:tblGrid>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2"/>
          <w:tblHeader/>
          <w:jc w:val="center"/>
        </w:trPr>
        <w:tc>
          <w:tcPr>
            <w:tcW w:w="1002"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1725"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5216"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91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64"/>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42"/>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0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15"/>
          <w:jc w:val="center"/>
        </w:trPr>
        <w:tc>
          <w:tcPr>
            <w:tcW w:w="1002" w:type="dxa"/>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32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97"/>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69"/>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eastAsia="仿宋_GB2312" w:cs="Times New Roman" w:hint="eastAsia"/>
                <w:b/>
                <w:bCs/>
                <w:color w:val="auto"/>
                <w:kern w:val="0"/>
                <w:sz w:val="18"/>
                <w:szCs w:val="18"/>
                <w:highlight w:val="none"/>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17"/>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73"/>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50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88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1725" w:type="dxa"/>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137"/>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满意度</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社会公众或服务对象对项目实施效果的满意程度。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93"/>
          <w:jc w:val="center"/>
        </w:trPr>
        <w:tc>
          <w:tcPr>
            <w:tcW w:w="10019" w:type="dxa"/>
            <w:gridSpan w:val="6"/>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合计</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fldChar w:fldCharType="begin"/>
            </w:r>
            <w:r>
              <w:rPr>
                <w:rFonts w:ascii="Times New Roman" w:eastAsia="仿宋_GB2312" w:hAnsi="Times New Roman" w:cs="Times New Roman" w:hint="default"/>
                <w:b/>
                <w:bCs/>
                <w:color w:val="auto"/>
                <w:kern w:val="0"/>
                <w:sz w:val="18"/>
                <w:szCs w:val="18"/>
                <w:highlight w:val="none"/>
              </w:rPr>
              <w:instrText xml:space="preserve"> = sum(F2:F18) \* MERGEFORMAT </w:instrText>
            </w:r>
            <w:r>
              <w:rPr>
                <w:rFonts w:ascii="Times New Roman" w:eastAsia="仿宋_GB2312" w:hAnsi="Times New Roman" w:cs="Times New Roman" w:hint="default"/>
                <w:b/>
                <w:bCs/>
                <w:color w:val="auto"/>
                <w:kern w:val="0"/>
                <w:sz w:val="18"/>
                <w:szCs w:val="18"/>
                <w:highlight w:val="none"/>
              </w:rPr>
              <w:fldChar w:fldCharType="separate"/>
            </w:r>
            <w:r>
              <w:rPr>
                <w:rFonts w:ascii="Times New Roman" w:eastAsia="仿宋_GB2312" w:hAnsi="Times New Roman" w:cs="Times New Roman" w:hint="default"/>
                <w:b/>
                <w:bCs/>
                <w:color w:val="auto"/>
                <w:kern w:val="0"/>
                <w:sz w:val="18"/>
                <w:szCs w:val="18"/>
                <w:highlight w:val="none"/>
              </w:rPr>
              <w:t xml:space="preserve">100</w:t>
            </w:r>
            <w:r>
              <w:rPr>
                <w:rFonts w:ascii="Times New Roman" w:eastAsia="仿宋_GB2312" w:hAnsi="Times New Roman" w:cs="Times New Roman" w:hint="default"/>
                <w:b/>
                <w:bCs/>
                <w:color w:val="auto"/>
                <w:kern w:val="0"/>
                <w:sz w:val="18"/>
                <w:szCs w:val="18"/>
                <w:highlight w:val="none"/>
              </w:rPr>
              <w:fldChar w:fldCharType="end"/>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eastAsia="仿宋_GB2312" w:cs="Times New Roman" w:hint="eastAsia"/>
                <w:b/>
                <w:bCs/>
                <w:color w:val="auto"/>
                <w:kern w:val="0"/>
                <w:sz w:val="18"/>
                <w:szCs w:val="18"/>
                <w:highlight w:val="none"/>
                <w:lang w:val="en-US" w:eastAsia="zh-CN"/>
              </w:rPr>
              <w:t xml:space="preserve">100</w:t>
            </w:r>
          </w:p>
        </w:tc>
      </w:tr>
    </w:tbl>
    <w:p>
      <w:pPr>
        <w:rPr>
          <w:rFonts w:ascii="Times New Roman" w:hAnsi="Times New Roman" w:cs="Times New Roman" w:hint="default"/>
        </w:rPr>
        <w:sectPr>
          <w:pgSz w:w="16838" w:h="11906" w:orient="landscape"/>
          <w:pgMar w:top="1800" w:right="1440" w:bottom="1558" w:left="1440" w:header="851" w:footer="992" w:gutter="0"/>
          <w:pgBorders/>
          <w:cols w:num="1" w:space="425">
            <w:col w:w="13958" w:space="425"/>
          </w:cols>
          <w:docGrid w:type="lines" w:linePitch="312" w:charSpace="0"/>
        </w:sectPr>
      </w:pPr>
    </w:p>
    <w:p>
      <w:pPr>
        <w:spacing w:line="600" w:lineRule="exact"/>
        <w:rPr>
          <w:rFonts w:eastAsia="黑体" w:cs="Times New Roman" w:hint="eastAsia"/>
          <w:sz w:val="32"/>
          <w:szCs w:val="32"/>
          <w:lang w:val="en-US" w:eastAsia="zh-CN"/>
        </w:rPr>
      </w:pPr>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000000"/>
          <w:kern w:val="0"/>
          <w:sz w:val="28"/>
          <w:szCs w:val="28"/>
          <w:u w:val="none"/>
          <w:lang w:val="en-US" w:eastAsia="zh-CN"/>
        </w:rPr>
      </w:pPr>
      <w:r>
        <w:rPr>
          <w:rFonts w:ascii="仿宋_GB2312" w:eastAsia="仿宋_GB2312" w:hAnsi="仿宋_GB2312" w:cs="仿宋_GB2312" w:hint="eastAsia"/>
          <w:b/>
          <w:bCs/>
          <w:i w:val="0"/>
          <w:iCs w:val="0"/>
          <w:color w:val="000000"/>
          <w:kern w:val="0"/>
          <w:sz w:val="28"/>
          <w:szCs w:val="28"/>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000000"/>
          <w:kern w:val="0"/>
          <w:sz w:val="22"/>
          <w:szCs w:val="22"/>
          <w:u w:val="none"/>
          <w:lang w:val="en-US" w:eastAsia="zh-CN"/>
        </w:rPr>
      </w:pPr>
      <w:r>
        <w:rPr>
          <w:rFonts w:ascii="Times New Roman" w:eastAsia="仿宋_GB2312" w:hAnsi="Times New Roman" w:cs="Times New Roman" w:hint="default"/>
          <w:b/>
          <w:bCs/>
          <w:i w:val="0"/>
          <w:iCs w:val="0"/>
          <w:color w:val="000000"/>
          <w:kern w:val="0"/>
          <w:sz w:val="22"/>
          <w:szCs w:val="22"/>
          <w:u w:val="none"/>
          <w:lang w:val="en-US" w:eastAsia="zh-CN"/>
        </w:rPr>
        <w:t xml:space="preserve">（2024年度）</w:t>
      </w:r>
    </w:p>
    <w:tbl>
      <w:tblPr>
        <w:tblStyle w:val="NormalTable"/>
        <w:tblpPr w:leftFromText="180" w:rightFromText="180" w:vertAnchor="text" w:horzAnchor="page" w:tblpX="1373" w:tblpY="306"/>
        <w:tblOverlap w:val="never"/>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723"/>
        <w:gridCol w:w="1050"/>
        <w:gridCol w:w="990"/>
        <w:gridCol w:w="1790"/>
        <w:gridCol w:w="1140"/>
        <w:gridCol w:w="880"/>
        <w:gridCol w:w="975"/>
        <w:gridCol w:w="825"/>
        <w:gridCol w:w="1005"/>
        <w:gridCol w:w="1065"/>
        <w:gridCol w:w="866"/>
        <w:gridCol w:w="830"/>
        <w:gridCol w:w="748"/>
        <w:gridCol w:w="1021"/>
      </w:tblGrid>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1"/>
        </w:trPr>
        <w:tc>
          <w:tcPr>
            <w:tcW w:w="17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项目名称</w:t>
            </w:r>
          </w:p>
        </w:tc>
        <w:tc>
          <w:tcPr>
            <w:tcW w:w="1213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2024年中央耕地建设与利用资金(耕地地力保护补贴)</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17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主管部门</w:t>
            </w:r>
          </w:p>
        </w:tc>
        <w:tc>
          <w:tcPr>
            <w:tcW w:w="57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裕民县农业农村局</w:t>
            </w:r>
          </w:p>
        </w:tc>
        <w:tc>
          <w:tcPr>
            <w:tcW w:w="1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实施单位</w:t>
            </w:r>
          </w:p>
        </w:tc>
        <w:tc>
          <w:tcPr>
            <w:tcW w:w="45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裕民县农业农村局</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17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项目资金</w:t>
            </w:r>
            <w:r>
              <w:rPr>
                <w:rFonts w:ascii="仿宋_GB2312" w:eastAsia="仿宋_GB2312" w:hAnsi="仿宋_GB2312" w:cs="仿宋_GB2312" w:hint="eastAsia"/>
                <w:i w:val="0"/>
                <w:iCs w:val="0"/>
                <w:color w:val="000000"/>
                <w:kern w:val="0"/>
                <w:sz w:val="18"/>
                <w:szCs w:val="18"/>
                <w:u w:val="none"/>
                <w:lang w:val="en-US" w:eastAsia="zh-CN"/>
              </w:rPr>
              <w:br/>
            </w:r>
            <w:r>
              <w:rPr>
                <w:rFonts w:ascii="仿宋_GB2312" w:eastAsia="仿宋_GB2312" w:hAnsi="仿宋_GB2312" w:cs="仿宋_GB2312" w:hint="eastAsia"/>
                <w:i w:val="0"/>
                <w:iCs w:val="0"/>
                <w:color w:val="000000"/>
                <w:kern w:val="0"/>
                <w:sz w:val="18"/>
                <w:szCs w:val="18"/>
                <w:u w:val="none"/>
                <w:lang w:val="en-US" w:eastAsia="zh-CN"/>
              </w:rPr>
              <w:t xml:space="preserve">（万元）</w:t>
            </w:r>
          </w:p>
        </w:tc>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资金来源</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年初预算数</w:t>
            </w:r>
          </w:p>
        </w:tc>
        <w:tc>
          <w:tcPr>
            <w:tcW w:w="1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全年预算数</w:t>
            </w:r>
          </w:p>
        </w:tc>
        <w:tc>
          <w:tcPr>
            <w:tcW w:w="1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全年执行数</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分值权重</w:t>
            </w: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执行率</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得分</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90"/>
        </w:trPr>
        <w:tc>
          <w:tcPr>
            <w:tcW w:w="17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年度资金总额</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2779.76</w:t>
            </w:r>
          </w:p>
        </w:tc>
        <w:tc>
          <w:tcPr>
            <w:tcW w:w="1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2794.76</w:t>
            </w:r>
          </w:p>
        </w:tc>
        <w:tc>
          <w:tcPr>
            <w:tcW w:w="1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2794.76</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90</w:t>
            </w: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89.68</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17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其中：当年财政拨款</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2779.76</w:t>
            </w:r>
          </w:p>
        </w:tc>
        <w:tc>
          <w:tcPr>
            <w:tcW w:w="18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2794.76</w:t>
            </w:r>
          </w:p>
        </w:tc>
        <w:tc>
          <w:tcPr>
            <w:tcW w:w="1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2794.76</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17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2780" w:type="dxa"/>
            <w:gridSpan w:val="2"/>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其他资金</w:t>
            </w:r>
          </w:p>
        </w:tc>
        <w:tc>
          <w:tcPr>
            <w:tcW w:w="1140" w:type="dxa"/>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1855" w:type="dxa"/>
            <w:gridSpan w:val="2"/>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1830" w:type="dxa"/>
            <w:gridSpan w:val="2"/>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年度总体目标</w:t>
            </w:r>
          </w:p>
        </w:tc>
        <w:tc>
          <w:tcPr>
            <w:tcW w:w="86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w:t>
            </w:r>
          </w:p>
        </w:tc>
        <w:tc>
          <w:tcPr>
            <w:tcW w:w="45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总体目标完成情况</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975"/>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655" w:type="dxa"/>
            <w:gridSpan w:val="8"/>
            <w:tcBorders>
              <w:top w:val="single" w:sz="4" w:space="0" w:color="auto"/>
              <w:left w:val="single" w:sz="4" w:space="0" w:color="auto"/>
              <w:bottom w:val="single" w:sz="4" w:space="0" w:color="auto"/>
              <w:right w:val="single" w:sz="4" w:space="0" w:color="auto"/>
            </w:tcBorders>
            <w:shd w:val="clear" w:color="auto" w:fill="auto"/>
            <w:vAlign w:val="top"/>
          </w:tcPr>
          <w:p>
            <w:pPr>
              <w:keepNext w:val="0"/>
              <w:keepLines w:val="0"/>
              <w:pageBreakBefore w:val="0"/>
              <w:widowControl w:val="0"/>
              <w:kinsoku/>
              <w:wordWrap/>
              <w:overflowPunct w:val="0"/>
              <w:topLinePunct w:val="0"/>
              <w:autoSpaceDE/>
              <w:autoSpaceDN/>
              <w:bidi w:val="0"/>
              <w:adjustRightInd/>
              <w:snapToGrid/>
              <w:spacing w:line="240" w:lineRule="exact"/>
              <w:jc w:val="left"/>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裕民县农业农村局2023年实施《关于提前下达2024年中央耕地建设与利用资金（耕地力保护补贴）预算的通知》(塔地财农[2023]22号裕财[2023]19号)、《2024年自治区农业生产发展资金（耕地地力保护补贴）》(塔地财农[2023]36号裕财[2023]29号)《关于下达2024年中央耕地建设与利用资金预算的通知--耕地轮作》（塔地财农[2024]10号裕财农[2024]8号）项目，预算资金2794.76万元，计划在5个乡镇实施补贴11万亩的小麦补贴及1000亩地的耕地轮作。通过本项目的实施将显著提高种粮农民经济收益、逐渐提高种粮农民积极性。</w:t>
            </w:r>
          </w:p>
        </w:tc>
        <w:tc>
          <w:tcPr>
            <w:tcW w:w="45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val="0"/>
              <w:kinsoku/>
              <w:wordWrap/>
              <w:overflowPunct w:val="0"/>
              <w:topLinePunct w:val="0"/>
              <w:autoSpaceDE/>
              <w:autoSpaceDN/>
              <w:bidi w:val="0"/>
              <w:adjustRightInd/>
              <w:snapToGrid/>
              <w:spacing w:line="200" w:lineRule="exact"/>
              <w:jc w:val="left"/>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该项目</w:t>
            </w:r>
            <w:r>
              <w:rPr>
                <w:rFonts w:ascii="仿宋_GB2312" w:eastAsia="仿宋_GB2312" w:hAnsi="仿宋_GB2312" w:cs="仿宋_GB2312" w:hint="eastAsia"/>
                <w:i w:val="0"/>
                <w:iCs w:val="0"/>
                <w:color w:val="000000"/>
                <w:sz w:val="18"/>
                <w:szCs w:val="18"/>
                <w:u w:val="none"/>
              </w:rPr>
              <w:t xml:space="preserve">全年预算资金2794.76万元，全年执行资金2794.76万元，资金执行率为100%。截止2024年12月25日，一是在5个乡镇实施冬、春小麦补贴，补贴资金2779.76万元，补贴冬春小麦面积14.80085万亩，其中冬小麦发放1223户，春小麦发放718户，二是实施1000亩地的耕地轮作15万元，补助标准为150元/亩，其中阿勒腾也木勒乡800亩，吉也克镇200亩。通过本项目的实施将显著提高种粮农民经济收益、逐渐提高种粮农民积极性。</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80"/>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绩效指标</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一级指标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二级指标</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三级指标</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指标值设置依据</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上年完成值</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指标分值权重</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指标赋分规则</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佐证资料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指标实际完成值</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完成率</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指标得分</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偏差原因分析及改进措施</w:t>
            </w: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50" w:type="dxa"/>
            <w:vMerge w:val="restart"/>
            <w:tcBorders>
              <w:top w:val="single" w:sz="4" w:space="0" w:color="auto"/>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产出指标</w:t>
            </w:r>
          </w:p>
        </w:tc>
        <w:tc>
          <w:tcPr>
            <w:tcW w:w="990" w:type="dxa"/>
            <w:vMerge w:val="restart"/>
            <w:tcBorders>
              <w:top w:val="single" w:sz="4" w:space="0" w:color="auto"/>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1790" w:type="dxa"/>
            <w:tcBorders>
              <w:top w:val="single" w:sz="4" w:space="0" w:color="auto"/>
              <w:left w:val="nil"/>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补贴冬小麦面积</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&gt;=11万亩</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8</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正式资料,工作资料,说明材料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default"/>
                <w:i w:val="0"/>
                <w:iCs w:val="0"/>
                <w:color w:val="000000"/>
                <w:sz w:val="18"/>
                <w:szCs w:val="18"/>
                <w:u w:val="none"/>
                <w:lang w:val="en-US" w:eastAsia="zh-CN"/>
              </w:rPr>
              <w:t xml:space="preserve">10.5339万亩</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96%</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default"/>
                <w:i w:val="0"/>
                <w:iCs w:val="0"/>
                <w:color w:val="000000"/>
                <w:sz w:val="18"/>
                <w:szCs w:val="18"/>
                <w:u w:val="none"/>
                <w:lang w:val="en-US" w:eastAsia="zh-CN"/>
              </w:rPr>
              <w:t xml:space="preserve">7.68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50" w:type="dxa"/>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990" w:type="dxa"/>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1790" w:type="dxa"/>
            <w:tcBorders>
              <w:top w:val="single" w:sz="4" w:space="0" w:color="auto"/>
              <w:left w:val="nil"/>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项目实施乡镇数量</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rPr>
              <w:t xml:space="preserve">&gt;=</w:t>
            </w:r>
            <w:r>
              <w:rPr>
                <w:rFonts w:ascii="仿宋_GB2312" w:eastAsia="仿宋_GB2312" w:hAnsi="仿宋_GB2312" w:cs="仿宋_GB2312" w:hint="eastAsia"/>
                <w:i w:val="0"/>
                <w:iCs w:val="0"/>
                <w:color w:val="000000"/>
                <w:sz w:val="18"/>
                <w:szCs w:val="18"/>
                <w:u w:val="none"/>
                <w:lang w:val="en-US" w:eastAsia="zh-CN"/>
              </w:rPr>
              <w:t xml:space="preserve">5个</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rPr>
            </w:pPr>
            <w:r>
              <w:rPr>
                <w:rFonts w:ascii="仿宋_GB2312" w:eastAsia="仿宋_GB2312" w:hAnsi="仿宋_GB2312" w:cs="仿宋_GB2312" w:hint="eastAsia"/>
                <w:i w:val="0"/>
                <w:iCs w:val="0"/>
                <w:color w:val="000000"/>
                <w:sz w:val="18"/>
                <w:szCs w:val="18"/>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8</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正式资料,工作资料,说明材料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5个</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50" w:type="dxa"/>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990" w:type="dxa"/>
            <w:vMerge/>
            <w:tcBorders>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1790" w:type="dxa"/>
            <w:tcBorders>
              <w:top w:val="single" w:sz="4" w:space="0" w:color="auto"/>
              <w:left w:val="nil"/>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耕地轮作面积</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&gt;=1000亩</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8</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正式资料,工作资料,说明材料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1000亩</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50" w:type="dxa"/>
            <w:vMerge/>
            <w:tcBorders>
              <w:left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质量指标</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补贴资金兑付率</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default"/>
                <w:i w:val="0"/>
                <w:iCs w:val="0"/>
                <w:color w:val="000000"/>
                <w:sz w:val="18"/>
                <w:szCs w:val="18"/>
                <w:u w:val="none"/>
                <w:lang w:val="en-US" w:eastAsia="zh-CN"/>
              </w:rPr>
              <w:t xml:space="preserve">&gt;=95%</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8</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正式资料,工作资料,说明材料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default"/>
                <w:i w:val="0"/>
                <w:iCs w:val="0"/>
                <w:color w:val="000000"/>
                <w:sz w:val="18"/>
                <w:szCs w:val="18"/>
                <w:u w:val="none"/>
                <w:lang w:val="en-US" w:eastAsia="zh-CN"/>
              </w:rPr>
              <w:t xml:space="preserve">100%</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1050" w:type="dxa"/>
            <w:vMerge/>
            <w:tcBorders>
              <w:left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990" w:type="dxa"/>
            <w:tcBorders>
              <w:top w:val="single" w:sz="4" w:space="0" w:color="auto"/>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时效指标</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补贴发放及时率</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=100%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8</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正式资料,工作资料,说明材料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default"/>
                <w:i w:val="0"/>
                <w:iCs w:val="0"/>
                <w:color w:val="000000"/>
                <w:sz w:val="18"/>
                <w:szCs w:val="18"/>
                <w:u w:val="none"/>
                <w:lang w:val="en-US" w:eastAsia="zh-CN"/>
              </w:rPr>
              <w:t xml:space="preserve">100%</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b/>
                <w:bCs/>
                <w:i w:val="0"/>
                <w:iCs w:val="0"/>
                <w:color w:val="000000"/>
                <w:sz w:val="18"/>
                <w:szCs w:val="18"/>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1050" w:type="dxa"/>
            <w:vMerge w:val="restart"/>
            <w:tcBorders>
              <w:top w:val="single" w:sz="4" w:space="0" w:color="auto"/>
              <w:left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成本指标</w:t>
            </w:r>
          </w:p>
        </w:tc>
        <w:tc>
          <w:tcPr>
            <w:tcW w:w="990" w:type="dxa"/>
            <w:vMerge w:val="restart"/>
            <w:tcBorders>
              <w:top w:val="single" w:sz="4" w:space="0" w:color="auto"/>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red"/>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经济成本指标</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小麦补贴标准</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=215.87元/亩</w:t>
            </w:r>
          </w:p>
        </w:tc>
        <w:tc>
          <w:tcPr>
            <w:tcW w:w="880" w:type="dxa"/>
            <w:tcBorders>
              <w:top w:val="single" w:sz="4" w:space="0" w:color="auto"/>
              <w:left w:val="single" w:sz="4" w:space="0" w:color="auto"/>
              <w:bottom w:val="nil"/>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预算支出指标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05" w:type="dxa"/>
            <w:tcBorders>
              <w:top w:val="single" w:sz="4" w:space="0" w:color="auto"/>
              <w:left w:val="single" w:sz="4" w:space="0" w:color="auto"/>
              <w:bottom w:val="nil"/>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正式资料,工作资料,说明材料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215.87元/亩</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1050" w:type="dxa"/>
            <w:vMerge/>
            <w:tcBorders>
              <w:left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p>
        </w:tc>
        <w:tc>
          <w:tcPr>
            <w:tcW w:w="990" w:type="dxa"/>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耕地轮作成本</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&lt;=15万元</w:t>
            </w:r>
          </w:p>
        </w:tc>
        <w:tc>
          <w:tcPr>
            <w:tcW w:w="880" w:type="dxa"/>
            <w:tcBorders>
              <w:top w:val="single" w:sz="4" w:space="0" w:color="auto"/>
              <w:left w:val="single" w:sz="4" w:space="0" w:color="auto"/>
              <w:bottom w:val="nil"/>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预算支出指标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05" w:type="dxa"/>
            <w:tcBorders>
              <w:top w:val="single" w:sz="4" w:space="0" w:color="auto"/>
              <w:left w:val="single" w:sz="4" w:space="0" w:color="auto"/>
              <w:bottom w:val="nil"/>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按照完成比例赋分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正式资料,工作资料,原始凭证,说明材料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15万元</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1050" w:type="dxa"/>
            <w:vMerge w:val="restart"/>
            <w:tcBorders>
              <w:top w:val="single" w:sz="4" w:space="0" w:color="auto"/>
              <w:left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效益指标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经济效益指标</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增加种植小麦农民全年总收入</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&gt;=2779.76万元</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按评判等级赋分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正式资料,工作资料,说明材料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2779.76万元</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1050" w:type="dxa"/>
            <w:vMerge/>
            <w:tcBorders>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社会效益指标</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提高种粮农民积极性</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逐步提高</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按评判等级赋分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正式资料,工作资料,说明材料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逐步提高</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23"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直接补贴政策农民满意度</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&gt;=90%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计划指标</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上年度无此指标</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满意度赋分</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正式资料,工作资料,说明材料</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90%</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ascii="仿宋_GB2312" w:eastAsia="仿宋_GB2312" w:hAnsi="仿宋_GB2312" w:cs="仿宋_GB2312" w:hint="eastAsia"/>
                <w:i w:val="0"/>
                <w:iCs w:val="0"/>
                <w:color w:val="000000"/>
                <w:sz w:val="18"/>
                <w:szCs w:val="18"/>
                <w:u w:val="none"/>
              </w:rPr>
            </w:pPr>
          </w:p>
        </w:tc>
      </w:tr>
      <w:tr>
        <w:tblPrEx>
          <w:tblW w:w="13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77"/>
        </w:trPr>
        <w:tc>
          <w:tcPr>
            <w:tcW w:w="4553" w:type="dxa"/>
            <w:gridSpan w:val="4"/>
            <w:tcBorders>
              <w:top w:val="single" w:sz="4" w:space="0" w:color="auto"/>
              <w:left w:val="single" w:sz="4" w:space="0" w:color="auto"/>
              <w:bottom w:val="single" w:sz="4" w:space="0" w:color="auto"/>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总分</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80" w:type="dxa"/>
            <w:tcBorders>
              <w:top w:val="single" w:sz="4" w:space="0" w:color="auto"/>
              <w:left w:val="nil"/>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b/>
                <w:bCs/>
                <w:i w:val="0"/>
                <w:iCs w:val="0"/>
                <w:color w:val="000000"/>
                <w:sz w:val="18"/>
                <w:szCs w:val="18"/>
                <w:u w:val="none"/>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90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89.68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bl>
    <w:p>
      <w:pPr>
        <w:rPr>
          <w:rFonts w:ascii="Times New Roman" w:hAnsi="Times New Roman" w:cs="Times New Roman" w:hint="default"/>
        </w:rPr>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2"/>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doNotDisplayPageBoundaries/>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Njg2YmFmOTBmYWM1ODhiOTgxMjc3ZjEwZGM1OWM0NzA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paragraph" w:styleId="Heading4">
    <w:name w:val="Heading 4"/>
    <w:basedOn w:val="Normal"/>
    <w:next w:val="Normal"/>
    <w:semiHidden/>
    <w:unhideWhenUsed/>
    <w:qFormat/>
    <w:pPr>
      <w:spacing w:before="0" w:beforeAutospacing="1" w:after="0" w:afterAutospacing="1"/>
      <w:jc w:val="left"/>
    </w:pPr>
    <w:rPr>
      <w:rFonts w:ascii="宋体" w:eastAsia="宋体" w:hAnsi="宋体" w:cs="宋体" w:hint="eastAsia"/>
      <w:b/>
      <w:kern w:val="0"/>
      <w:sz w:val="24"/>
      <w:szCs w:val="24"/>
      <w:lang w:val="en-US" w:eastAsia="zh-CN"/>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7FA1D9C2D91E4220AD3ABA058A1FA4BC</vt:lpwstr>
  </property>
  <property fmtid="{D5CDD505-2E9C-101B-9397-08002B2CF9AE}" pid="4" name="KSOTemplateDocerSaveRecord">
    <vt:lpwstr>eyJoZGlkIjoiY2UxYTY5Njg0NWU1NDU5MmE3NzhjZDNiMDAyZDZjNWUiLCJ1c2VySWQiOiIxMTEwNzY4OCJ9</vt:lpwstr>
  </property>
</Properties>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21</TotalTime>
  <Pages>31</Pages>
  <Words>13790</Words>
  <Characters>14760</Characters>
  <Application>WPS Office_11.8.2.8621_F1E327BC-269C-435d-A152-05C5408002CA</Application>
  <DocSecurity>0</DocSecurity>
  <Lines>58</Lines>
  <Paragraphs>16</Paragraphs>
  <CharactersWithSpaces>14769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1lovn</cp:lastModifiedBy>
  <cp:revision>2</cp:revision>
  <dcterms:created xsi:type="dcterms:W3CDTF">2023-03-08T13:13:00Z</dcterms:created>
  <dcterms:modified xsi:type="dcterms:W3CDTF">2025-08-21T05:29:01Z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7FA1D9C2D91E4220AD3ABA058A1FA4BC</vt:lpwstr>
  </property>
  <property fmtid="{D5CDD505-2E9C-101B-9397-08002B2CF9AE}" pid="4" name="KSOTemplateDocerSaveRecord">
    <vt:lpwstr>eyJoZGlkIjoiY2UxYTY5Njg0NWU1NDU5MmE3NzhjZDNiMDAyZDZjNWUiLCJ1c2VySWQiOiIxMTEwNzY4OCJ9</vt:lpwstr>
  </property>
</Properties>
</file>